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98"/>
        <w:ind w:left="2000" w:right="2028"/>
      </w:pPr>
      <w:r>
        <w:rPr/>
        <w:pict>
          <v:shape style="position:absolute;margin-left:448.350006pt;margin-top:5.226111pt;width:126.65pt;height:54.65pt;mso-position-horizontal-relative:page;mso-position-vertical-relative:paragraph;z-index:251658240" type="#_x0000_t202" filled="false" stroked="true" strokeweight=".5pt" strokecolor="#231f20">
            <v:textbox inset="0,0,0,0">
              <w:txbxContent>
                <w:p>
                  <w:pPr>
                    <w:spacing w:line="199" w:lineRule="exact" w:before="0"/>
                    <w:ind w:left="500" w:right="0" w:firstLine="0"/>
                    <w:jc w:val="left"/>
                    <w:rPr>
                      <w:rFonts w:ascii="Calibri"/>
                      <w:sz w:val="18"/>
                    </w:rPr>
                  </w:pPr>
                  <w:r>
                    <w:rPr>
                      <w:rFonts w:ascii="Calibri"/>
                      <w:color w:val="231F20"/>
                      <w:sz w:val="18"/>
                    </w:rPr>
                    <w:t>OMB APPROVAL</w:t>
                  </w:r>
                </w:p>
                <w:p>
                  <w:pPr>
                    <w:tabs>
                      <w:tab w:pos="1437" w:val="left" w:leader="none"/>
                    </w:tabs>
                    <w:spacing w:line="218" w:lineRule="exact" w:before="2"/>
                    <w:ind w:left="57" w:right="0" w:firstLine="0"/>
                    <w:jc w:val="left"/>
                    <w:rPr>
                      <w:rFonts w:ascii="Calibri"/>
                      <w:sz w:val="18"/>
                    </w:rPr>
                  </w:pPr>
                  <w:r>
                    <w:rPr>
                      <w:rFonts w:ascii="Calibri"/>
                      <w:color w:val="231F20"/>
                      <w:sz w:val="18"/>
                    </w:rPr>
                    <w:t>OMB</w:t>
                  </w:r>
                  <w:r>
                    <w:rPr>
                      <w:rFonts w:ascii="Calibri"/>
                      <w:color w:val="231F20"/>
                      <w:spacing w:val="-3"/>
                      <w:sz w:val="18"/>
                    </w:rPr>
                    <w:t> </w:t>
                  </w:r>
                  <w:r>
                    <w:rPr>
                      <w:rFonts w:ascii="Calibri"/>
                      <w:color w:val="231F20"/>
                      <w:sz w:val="18"/>
                    </w:rPr>
                    <w:t>Number:</w:t>
                    <w:tab/>
                    <w:t>3235-0056</w:t>
                  </w:r>
                </w:p>
                <w:p>
                  <w:pPr>
                    <w:tabs>
                      <w:tab w:pos="1251" w:val="left" w:leader="none"/>
                      <w:tab w:pos="2082" w:val="left" w:leader="dot"/>
                    </w:tabs>
                    <w:spacing w:line="235" w:lineRule="auto" w:before="1"/>
                    <w:ind w:left="57" w:right="216" w:firstLine="0"/>
                    <w:jc w:val="left"/>
                    <w:rPr>
                      <w:rFonts w:ascii="Calibri"/>
                      <w:sz w:val="18"/>
                    </w:rPr>
                  </w:pPr>
                  <w:r>
                    <w:rPr>
                      <w:rFonts w:ascii="Calibri"/>
                      <w:color w:val="231F20"/>
                      <w:sz w:val="18"/>
                    </w:rPr>
                    <w:t>Expires:</w:t>
                    <w:tab/>
                    <w:t>July 31, 2025 Estimated average burden hours</w:t>
                  </w:r>
                  <w:r>
                    <w:rPr>
                      <w:rFonts w:ascii="Calibri"/>
                      <w:color w:val="231F20"/>
                      <w:spacing w:val="9"/>
                      <w:sz w:val="18"/>
                    </w:rPr>
                    <w:t> </w:t>
                  </w:r>
                  <w:r>
                    <w:rPr>
                      <w:rFonts w:ascii="Calibri"/>
                      <w:color w:val="231F20"/>
                      <w:sz w:val="18"/>
                    </w:rPr>
                    <w:t>per</w:t>
                  </w:r>
                  <w:r>
                    <w:rPr>
                      <w:rFonts w:ascii="Calibri"/>
                      <w:color w:val="231F20"/>
                      <w:spacing w:val="9"/>
                      <w:sz w:val="18"/>
                    </w:rPr>
                    <w:t> </w:t>
                  </w:r>
                  <w:r>
                    <w:rPr>
                      <w:rFonts w:ascii="Calibri"/>
                      <w:color w:val="231F20"/>
                      <w:sz w:val="18"/>
                    </w:rPr>
                    <w:t>response</w:t>
                    <w:tab/>
                  </w:r>
                  <w:r>
                    <w:rPr>
                      <w:rFonts w:ascii="Calibri"/>
                      <w:color w:val="231F20"/>
                      <w:spacing w:val="-6"/>
                      <w:sz w:val="18"/>
                    </w:rPr>
                    <w:t>3.0</w:t>
                  </w:r>
                </w:p>
              </w:txbxContent>
            </v:textbox>
            <v:stroke dashstyle="solid"/>
            <w10:wrap type="none"/>
          </v:shape>
        </w:pict>
      </w:r>
      <w:r>
        <w:rPr>
          <w:color w:val="231F20"/>
        </w:rPr>
        <w:t>UNITED STATES</w:t>
      </w:r>
    </w:p>
    <w:p>
      <w:pPr>
        <w:spacing w:before="12"/>
        <w:ind w:left="2000" w:right="2029" w:firstLine="0"/>
        <w:jc w:val="center"/>
        <w:rPr>
          <w:b/>
          <w:sz w:val="24"/>
        </w:rPr>
      </w:pPr>
      <w:r>
        <w:rPr>
          <w:b/>
          <w:color w:val="231F20"/>
          <w:sz w:val="24"/>
        </w:rPr>
        <w:t>SECURITIES AND EXCHANGE COMMISSION</w:t>
      </w:r>
    </w:p>
    <w:p>
      <w:pPr>
        <w:spacing w:line="501" w:lineRule="auto" w:before="12"/>
        <w:ind w:left="4259" w:right="4288" w:firstLine="0"/>
        <w:jc w:val="center"/>
        <w:rPr>
          <w:b/>
          <w:sz w:val="24"/>
        </w:rPr>
      </w:pPr>
      <w:r>
        <w:rPr>
          <w:b/>
          <w:color w:val="231F20"/>
          <w:sz w:val="24"/>
        </w:rPr>
        <w:t>Washington, D.C. 20549 FORM 8-A</w:t>
      </w:r>
    </w:p>
    <w:p>
      <w:pPr>
        <w:spacing w:line="249" w:lineRule="auto" w:before="0"/>
        <w:ind w:left="2000" w:right="2029" w:firstLine="0"/>
        <w:jc w:val="center"/>
        <w:rPr>
          <w:b/>
          <w:sz w:val="24"/>
        </w:rPr>
      </w:pPr>
      <w:r>
        <w:rPr>
          <w:b/>
          <w:color w:val="231F20"/>
          <w:sz w:val="24"/>
        </w:rPr>
        <w:t>FOR REGISTRATION OF CERTAIN CLASSES OF SECURITIES PURSUANT TO SECTION 12(b) OR (g) OF THE</w:t>
      </w:r>
    </w:p>
    <w:p>
      <w:pPr>
        <w:spacing w:line="501" w:lineRule="auto" w:before="1"/>
        <w:ind w:left="3321" w:right="3350" w:firstLine="0"/>
        <w:jc w:val="center"/>
        <w:rPr>
          <w:b/>
          <w:sz w:val="24"/>
        </w:rPr>
      </w:pPr>
      <w:r>
        <w:rPr>
          <w:b/>
          <w:color w:val="231F20"/>
          <w:sz w:val="24"/>
        </w:rPr>
        <w:t>SECURITIES EXCHANGE ACT OF 1934 GENERAL INSTRUCTIONS</w:t>
      </w:r>
    </w:p>
    <w:p>
      <w:pPr>
        <w:pStyle w:val="ListParagraph"/>
        <w:numPr>
          <w:ilvl w:val="0"/>
          <w:numId w:val="1"/>
        </w:numPr>
        <w:tabs>
          <w:tab w:pos="444" w:val="left" w:leader="none"/>
        </w:tabs>
        <w:spacing w:line="274" w:lineRule="exact" w:before="0" w:after="0"/>
        <w:ind w:left="443" w:right="0" w:hanging="295"/>
        <w:jc w:val="left"/>
        <w:rPr>
          <w:b/>
          <w:sz w:val="24"/>
        </w:rPr>
      </w:pPr>
      <w:r>
        <w:rPr>
          <w:b/>
          <w:color w:val="231F20"/>
          <w:sz w:val="24"/>
        </w:rPr>
        <w:t>Rule as to Use of Form</w:t>
      </w:r>
      <w:r>
        <w:rPr>
          <w:b/>
          <w:color w:val="231F20"/>
          <w:spacing w:val="-3"/>
          <w:sz w:val="24"/>
        </w:rPr>
        <w:t> </w:t>
      </w:r>
      <w:r>
        <w:rPr>
          <w:b/>
          <w:color w:val="231F20"/>
          <w:sz w:val="24"/>
        </w:rPr>
        <w:t>8-A.</w:t>
      </w:r>
    </w:p>
    <w:p>
      <w:pPr>
        <w:pStyle w:val="BodyText"/>
        <w:rPr>
          <w:b/>
          <w:sz w:val="26"/>
        </w:rPr>
      </w:pPr>
    </w:p>
    <w:p>
      <w:pPr>
        <w:pStyle w:val="ListParagraph"/>
        <w:numPr>
          <w:ilvl w:val="0"/>
          <w:numId w:val="2"/>
        </w:numPr>
        <w:tabs>
          <w:tab w:pos="477" w:val="left" w:leader="none"/>
        </w:tabs>
        <w:spacing w:line="249" w:lineRule="auto" w:before="1" w:after="0"/>
        <w:ind w:left="150" w:right="212" w:firstLine="0"/>
        <w:jc w:val="left"/>
        <w:rPr>
          <w:sz w:val="24"/>
        </w:rPr>
      </w:pPr>
      <w:r>
        <w:rPr>
          <w:color w:val="231F20"/>
          <w:sz w:val="24"/>
        </w:rPr>
        <w:t>Subject to paragraph (b) </w:t>
      </w:r>
      <w:r>
        <w:rPr>
          <w:color w:val="231F20"/>
          <w:spacing w:val="-3"/>
          <w:sz w:val="24"/>
        </w:rPr>
        <w:t>below, </w:t>
      </w:r>
      <w:r>
        <w:rPr>
          <w:color w:val="231F20"/>
          <w:sz w:val="24"/>
        </w:rPr>
        <w:t>this form may be used for registration pursuant to Section 12(b) or (g) of the Securities</w:t>
      </w:r>
      <w:r>
        <w:rPr>
          <w:color w:val="231F20"/>
          <w:spacing w:val="-4"/>
          <w:sz w:val="24"/>
        </w:rPr>
        <w:t> </w:t>
      </w:r>
      <w:r>
        <w:rPr>
          <w:color w:val="231F20"/>
          <w:sz w:val="24"/>
        </w:rPr>
        <w:t>Exchange</w:t>
      </w:r>
      <w:r>
        <w:rPr>
          <w:color w:val="231F20"/>
          <w:spacing w:val="-15"/>
          <w:sz w:val="24"/>
        </w:rPr>
        <w:t> </w:t>
      </w:r>
      <w:r>
        <w:rPr>
          <w:color w:val="231F20"/>
          <w:sz w:val="24"/>
        </w:rPr>
        <w:t>Act</w:t>
      </w:r>
      <w:r>
        <w:rPr>
          <w:color w:val="231F20"/>
          <w:spacing w:val="-3"/>
          <w:sz w:val="24"/>
        </w:rPr>
        <w:t> </w:t>
      </w:r>
      <w:r>
        <w:rPr>
          <w:color w:val="231F20"/>
          <w:sz w:val="24"/>
        </w:rPr>
        <w:t>of</w:t>
      </w:r>
      <w:r>
        <w:rPr>
          <w:color w:val="231F20"/>
          <w:spacing w:val="-3"/>
          <w:sz w:val="24"/>
        </w:rPr>
        <w:t> </w:t>
      </w:r>
      <w:r>
        <w:rPr>
          <w:color w:val="231F20"/>
          <w:sz w:val="24"/>
        </w:rPr>
        <w:t>1934</w:t>
      </w:r>
      <w:r>
        <w:rPr>
          <w:color w:val="231F20"/>
          <w:spacing w:val="-2"/>
          <w:sz w:val="24"/>
        </w:rPr>
        <w:t> </w:t>
      </w:r>
      <w:r>
        <w:rPr>
          <w:color w:val="231F20"/>
          <w:sz w:val="24"/>
        </w:rPr>
        <w:t>of</w:t>
      </w:r>
      <w:r>
        <w:rPr>
          <w:color w:val="231F20"/>
          <w:spacing w:val="-2"/>
          <w:sz w:val="24"/>
        </w:rPr>
        <w:t> </w:t>
      </w:r>
      <w:r>
        <w:rPr>
          <w:color w:val="231F20"/>
          <w:sz w:val="24"/>
        </w:rPr>
        <w:t>any</w:t>
      </w:r>
      <w:r>
        <w:rPr>
          <w:color w:val="231F20"/>
          <w:spacing w:val="-2"/>
          <w:sz w:val="24"/>
        </w:rPr>
        <w:t> </w:t>
      </w:r>
      <w:r>
        <w:rPr>
          <w:color w:val="231F20"/>
          <w:sz w:val="24"/>
        </w:rPr>
        <w:t>class</w:t>
      </w:r>
      <w:r>
        <w:rPr>
          <w:color w:val="231F20"/>
          <w:spacing w:val="-2"/>
          <w:sz w:val="24"/>
        </w:rPr>
        <w:t> </w:t>
      </w:r>
      <w:r>
        <w:rPr>
          <w:color w:val="231F20"/>
          <w:sz w:val="24"/>
        </w:rPr>
        <w:t>of</w:t>
      </w:r>
      <w:r>
        <w:rPr>
          <w:color w:val="231F20"/>
          <w:spacing w:val="-3"/>
          <w:sz w:val="24"/>
        </w:rPr>
        <w:t> </w:t>
      </w:r>
      <w:r>
        <w:rPr>
          <w:color w:val="231F20"/>
          <w:sz w:val="24"/>
        </w:rPr>
        <w:t>securities</w:t>
      </w:r>
      <w:r>
        <w:rPr>
          <w:color w:val="231F20"/>
          <w:spacing w:val="-3"/>
          <w:sz w:val="24"/>
        </w:rPr>
        <w:t> </w:t>
      </w:r>
      <w:r>
        <w:rPr>
          <w:color w:val="231F20"/>
          <w:sz w:val="24"/>
        </w:rPr>
        <w:t>of</w:t>
      </w:r>
      <w:r>
        <w:rPr>
          <w:color w:val="231F20"/>
          <w:spacing w:val="-2"/>
          <w:sz w:val="24"/>
        </w:rPr>
        <w:t> </w:t>
      </w:r>
      <w:r>
        <w:rPr>
          <w:color w:val="231F20"/>
          <w:sz w:val="24"/>
        </w:rPr>
        <w:t>any</w:t>
      </w:r>
      <w:r>
        <w:rPr>
          <w:color w:val="231F20"/>
          <w:spacing w:val="-2"/>
          <w:sz w:val="24"/>
        </w:rPr>
        <w:t> </w:t>
      </w:r>
      <w:r>
        <w:rPr>
          <w:color w:val="231F20"/>
          <w:sz w:val="24"/>
        </w:rPr>
        <w:t>issuer</w:t>
      </w:r>
      <w:r>
        <w:rPr>
          <w:color w:val="231F20"/>
          <w:spacing w:val="-2"/>
          <w:sz w:val="24"/>
        </w:rPr>
        <w:t> </w:t>
      </w:r>
      <w:r>
        <w:rPr>
          <w:color w:val="231F20"/>
          <w:sz w:val="24"/>
        </w:rPr>
        <w:t>which</w:t>
      </w:r>
      <w:r>
        <w:rPr>
          <w:color w:val="231F20"/>
          <w:spacing w:val="-3"/>
          <w:sz w:val="24"/>
        </w:rPr>
        <w:t> </w:t>
      </w:r>
      <w:r>
        <w:rPr>
          <w:color w:val="231F20"/>
          <w:sz w:val="24"/>
        </w:rPr>
        <w:t>is</w:t>
      </w:r>
      <w:r>
        <w:rPr>
          <w:color w:val="231F20"/>
          <w:spacing w:val="-3"/>
          <w:sz w:val="24"/>
        </w:rPr>
        <w:t> </w:t>
      </w:r>
      <w:r>
        <w:rPr>
          <w:color w:val="231F20"/>
          <w:sz w:val="24"/>
        </w:rPr>
        <w:t>(1)</w:t>
      </w:r>
      <w:r>
        <w:rPr>
          <w:color w:val="231F20"/>
          <w:spacing w:val="-2"/>
          <w:sz w:val="24"/>
        </w:rPr>
        <w:t> </w:t>
      </w:r>
      <w:r>
        <w:rPr>
          <w:color w:val="231F20"/>
          <w:sz w:val="24"/>
        </w:rPr>
        <w:t>required</w:t>
      </w:r>
      <w:r>
        <w:rPr>
          <w:color w:val="231F20"/>
          <w:spacing w:val="-2"/>
          <w:sz w:val="24"/>
        </w:rPr>
        <w:t> </w:t>
      </w:r>
      <w:r>
        <w:rPr>
          <w:color w:val="231F20"/>
          <w:sz w:val="24"/>
        </w:rPr>
        <w:t>to</w:t>
      </w:r>
      <w:r>
        <w:rPr>
          <w:color w:val="231F20"/>
          <w:spacing w:val="-2"/>
          <w:sz w:val="24"/>
        </w:rPr>
        <w:t> </w:t>
      </w:r>
      <w:r>
        <w:rPr>
          <w:color w:val="231F20"/>
          <w:sz w:val="24"/>
        </w:rPr>
        <w:t>file</w:t>
      </w:r>
      <w:r>
        <w:rPr>
          <w:color w:val="231F20"/>
          <w:spacing w:val="-3"/>
          <w:sz w:val="24"/>
        </w:rPr>
        <w:t> </w:t>
      </w:r>
      <w:r>
        <w:rPr>
          <w:color w:val="231F20"/>
          <w:sz w:val="24"/>
        </w:rPr>
        <w:t>reports</w:t>
      </w:r>
      <w:r>
        <w:rPr>
          <w:color w:val="231F20"/>
          <w:spacing w:val="-2"/>
          <w:sz w:val="24"/>
        </w:rPr>
        <w:t> </w:t>
      </w:r>
      <w:r>
        <w:rPr>
          <w:color w:val="231F20"/>
          <w:sz w:val="24"/>
        </w:rPr>
        <w:t>pur- suant</w:t>
      </w:r>
      <w:r>
        <w:rPr>
          <w:color w:val="231F20"/>
          <w:spacing w:val="-3"/>
          <w:sz w:val="24"/>
        </w:rPr>
        <w:t> </w:t>
      </w:r>
      <w:r>
        <w:rPr>
          <w:color w:val="231F20"/>
          <w:sz w:val="24"/>
        </w:rPr>
        <w:t>to</w:t>
      </w:r>
      <w:r>
        <w:rPr>
          <w:color w:val="231F20"/>
          <w:spacing w:val="-2"/>
          <w:sz w:val="24"/>
        </w:rPr>
        <w:t> </w:t>
      </w:r>
      <w:r>
        <w:rPr>
          <w:color w:val="231F20"/>
          <w:sz w:val="24"/>
        </w:rPr>
        <w:t>Section</w:t>
      </w:r>
      <w:r>
        <w:rPr>
          <w:color w:val="231F20"/>
          <w:spacing w:val="-2"/>
          <w:sz w:val="24"/>
        </w:rPr>
        <w:t> </w:t>
      </w:r>
      <w:r>
        <w:rPr>
          <w:color w:val="231F20"/>
          <w:sz w:val="24"/>
        </w:rPr>
        <w:t>13</w:t>
      </w:r>
      <w:r>
        <w:rPr>
          <w:color w:val="231F20"/>
          <w:spacing w:val="-2"/>
          <w:sz w:val="24"/>
        </w:rPr>
        <w:t> </w:t>
      </w:r>
      <w:r>
        <w:rPr>
          <w:color w:val="231F20"/>
          <w:sz w:val="24"/>
        </w:rPr>
        <w:t>or</w:t>
      </w:r>
      <w:r>
        <w:rPr>
          <w:color w:val="231F20"/>
          <w:spacing w:val="-2"/>
          <w:sz w:val="24"/>
        </w:rPr>
        <w:t> </w:t>
      </w:r>
      <w:r>
        <w:rPr>
          <w:color w:val="231F20"/>
          <w:sz w:val="24"/>
        </w:rPr>
        <w:t>15(d)</w:t>
      </w:r>
      <w:r>
        <w:rPr>
          <w:color w:val="231F20"/>
          <w:spacing w:val="-1"/>
          <w:sz w:val="24"/>
        </w:rPr>
        <w:t> </w:t>
      </w:r>
      <w:r>
        <w:rPr>
          <w:color w:val="231F20"/>
          <w:sz w:val="24"/>
        </w:rPr>
        <w:t>of</w:t>
      </w:r>
      <w:r>
        <w:rPr>
          <w:color w:val="231F20"/>
          <w:spacing w:val="-2"/>
          <w:sz w:val="24"/>
        </w:rPr>
        <w:t> </w:t>
      </w:r>
      <w:r>
        <w:rPr>
          <w:color w:val="231F20"/>
          <w:sz w:val="24"/>
        </w:rPr>
        <w:t>that</w:t>
      </w:r>
      <w:r>
        <w:rPr>
          <w:color w:val="231F20"/>
          <w:spacing w:val="-15"/>
          <w:sz w:val="24"/>
        </w:rPr>
        <w:t> </w:t>
      </w:r>
      <w:r>
        <w:rPr>
          <w:color w:val="231F20"/>
          <w:sz w:val="24"/>
        </w:rPr>
        <w:t>Act,</w:t>
      </w:r>
      <w:r>
        <w:rPr>
          <w:color w:val="231F20"/>
          <w:spacing w:val="-3"/>
          <w:sz w:val="24"/>
        </w:rPr>
        <w:t> </w:t>
      </w:r>
      <w:r>
        <w:rPr>
          <w:color w:val="231F20"/>
          <w:sz w:val="24"/>
        </w:rPr>
        <w:t>(2)</w:t>
      </w:r>
      <w:r>
        <w:rPr>
          <w:color w:val="231F20"/>
          <w:spacing w:val="-1"/>
          <w:sz w:val="24"/>
        </w:rPr>
        <w:t> </w:t>
      </w:r>
      <w:r>
        <w:rPr>
          <w:color w:val="231F20"/>
          <w:sz w:val="24"/>
        </w:rPr>
        <w:t>is</w:t>
      </w:r>
      <w:r>
        <w:rPr>
          <w:color w:val="231F20"/>
          <w:spacing w:val="-2"/>
          <w:sz w:val="24"/>
        </w:rPr>
        <w:t> </w:t>
      </w:r>
      <w:r>
        <w:rPr>
          <w:color w:val="231F20"/>
          <w:sz w:val="24"/>
        </w:rPr>
        <w:t>concurrently</w:t>
      </w:r>
      <w:r>
        <w:rPr>
          <w:color w:val="231F20"/>
          <w:spacing w:val="-2"/>
          <w:sz w:val="24"/>
        </w:rPr>
        <w:t> </w:t>
      </w:r>
      <w:r>
        <w:rPr>
          <w:color w:val="231F20"/>
          <w:sz w:val="24"/>
        </w:rPr>
        <w:t>qualifying</w:t>
      </w:r>
      <w:r>
        <w:rPr>
          <w:color w:val="231F20"/>
          <w:spacing w:val="-1"/>
          <w:sz w:val="24"/>
        </w:rPr>
        <w:t> </w:t>
      </w:r>
      <w:r>
        <w:rPr>
          <w:color w:val="231F20"/>
          <w:sz w:val="24"/>
        </w:rPr>
        <w:t>a</w:t>
      </w:r>
      <w:r>
        <w:rPr>
          <w:color w:val="231F20"/>
          <w:spacing w:val="-7"/>
          <w:sz w:val="24"/>
        </w:rPr>
        <w:t> </w:t>
      </w:r>
      <w:r>
        <w:rPr>
          <w:color w:val="231F20"/>
          <w:spacing w:val="-3"/>
          <w:sz w:val="24"/>
        </w:rPr>
        <w:t>Tier</w:t>
      </w:r>
      <w:r>
        <w:rPr>
          <w:color w:val="231F20"/>
          <w:spacing w:val="-1"/>
          <w:sz w:val="24"/>
        </w:rPr>
        <w:t> </w:t>
      </w:r>
      <w:r>
        <w:rPr>
          <w:color w:val="231F20"/>
          <w:sz w:val="24"/>
        </w:rPr>
        <w:t>2</w:t>
      </w:r>
      <w:r>
        <w:rPr>
          <w:color w:val="231F20"/>
          <w:spacing w:val="-2"/>
          <w:sz w:val="24"/>
        </w:rPr>
        <w:t> </w:t>
      </w:r>
      <w:r>
        <w:rPr>
          <w:color w:val="231F20"/>
          <w:sz w:val="24"/>
        </w:rPr>
        <w:t>offering</w:t>
      </w:r>
      <w:r>
        <w:rPr>
          <w:color w:val="231F20"/>
          <w:spacing w:val="-2"/>
          <w:sz w:val="24"/>
        </w:rPr>
        <w:t> </w:t>
      </w:r>
      <w:r>
        <w:rPr>
          <w:color w:val="231F20"/>
          <w:sz w:val="24"/>
        </w:rPr>
        <w:t>statement</w:t>
      </w:r>
      <w:r>
        <w:rPr>
          <w:color w:val="231F20"/>
          <w:spacing w:val="-2"/>
          <w:sz w:val="24"/>
        </w:rPr>
        <w:t> </w:t>
      </w:r>
      <w:r>
        <w:rPr>
          <w:color w:val="231F20"/>
          <w:sz w:val="24"/>
        </w:rPr>
        <w:t>relating</w:t>
      </w:r>
      <w:r>
        <w:rPr>
          <w:color w:val="231F20"/>
          <w:spacing w:val="-2"/>
          <w:sz w:val="24"/>
        </w:rPr>
        <w:t> </w:t>
      </w:r>
      <w:r>
        <w:rPr>
          <w:color w:val="231F20"/>
          <w:sz w:val="24"/>
        </w:rPr>
        <w:t>to</w:t>
      </w:r>
      <w:r>
        <w:rPr>
          <w:color w:val="231F20"/>
          <w:spacing w:val="-2"/>
          <w:sz w:val="24"/>
        </w:rPr>
        <w:t> </w:t>
      </w:r>
      <w:r>
        <w:rPr>
          <w:color w:val="231F20"/>
          <w:sz w:val="24"/>
        </w:rPr>
        <w:t>that class of securities using the Form S-1 or Form </w:t>
      </w:r>
      <w:r>
        <w:rPr>
          <w:color w:val="231F20"/>
          <w:spacing w:val="-3"/>
          <w:sz w:val="24"/>
        </w:rPr>
        <w:t>S-11 </w:t>
      </w:r>
      <w:r>
        <w:rPr>
          <w:color w:val="231F20"/>
          <w:sz w:val="24"/>
        </w:rPr>
        <w:t>disclosure models that includes financial statements that are audited in accordance with the standards of, and by an accounting firm that is registered with, the Public Company Accounting Oversight Board (United States), or (3) pursuant to an order exempting the exchange on which the issuer has securities listed from registration as a national securities</w:t>
      </w:r>
      <w:r>
        <w:rPr>
          <w:color w:val="231F20"/>
          <w:spacing w:val="-9"/>
          <w:sz w:val="24"/>
        </w:rPr>
        <w:t> </w:t>
      </w:r>
      <w:r>
        <w:rPr>
          <w:color w:val="231F20"/>
          <w:sz w:val="24"/>
        </w:rPr>
        <w:t>exchange.</w:t>
      </w:r>
    </w:p>
    <w:p>
      <w:pPr>
        <w:pStyle w:val="BodyText"/>
        <w:spacing w:before="7"/>
        <w:rPr>
          <w:sz w:val="25"/>
        </w:rPr>
      </w:pPr>
    </w:p>
    <w:p>
      <w:pPr>
        <w:pStyle w:val="ListParagraph"/>
        <w:numPr>
          <w:ilvl w:val="0"/>
          <w:numId w:val="2"/>
        </w:numPr>
        <w:tabs>
          <w:tab w:pos="490" w:val="left" w:leader="none"/>
        </w:tabs>
        <w:spacing w:line="249" w:lineRule="auto" w:before="0" w:after="0"/>
        <w:ind w:left="150" w:right="204" w:firstLine="0"/>
        <w:jc w:val="left"/>
        <w:rPr>
          <w:sz w:val="24"/>
        </w:rPr>
      </w:pPr>
      <w:r>
        <w:rPr>
          <w:color w:val="231F20"/>
          <w:sz w:val="24"/>
        </w:rPr>
        <w:t>If</w:t>
      </w:r>
      <w:r>
        <w:rPr>
          <w:color w:val="231F20"/>
          <w:spacing w:val="-3"/>
          <w:sz w:val="24"/>
        </w:rPr>
        <w:t> </w:t>
      </w:r>
      <w:r>
        <w:rPr>
          <w:color w:val="231F20"/>
          <w:sz w:val="24"/>
        </w:rPr>
        <w:t>the</w:t>
      </w:r>
      <w:r>
        <w:rPr>
          <w:color w:val="231F20"/>
          <w:spacing w:val="-2"/>
          <w:sz w:val="24"/>
        </w:rPr>
        <w:t> </w:t>
      </w:r>
      <w:r>
        <w:rPr>
          <w:color w:val="231F20"/>
          <w:sz w:val="24"/>
        </w:rPr>
        <w:t>registrant</w:t>
      </w:r>
      <w:r>
        <w:rPr>
          <w:color w:val="231F20"/>
          <w:spacing w:val="-2"/>
          <w:sz w:val="24"/>
        </w:rPr>
        <w:t> </w:t>
      </w:r>
      <w:r>
        <w:rPr>
          <w:color w:val="231F20"/>
          <w:sz w:val="24"/>
        </w:rPr>
        <w:t>would</w:t>
      </w:r>
      <w:r>
        <w:rPr>
          <w:color w:val="231F20"/>
          <w:spacing w:val="-3"/>
          <w:sz w:val="24"/>
        </w:rPr>
        <w:t> </w:t>
      </w:r>
      <w:r>
        <w:rPr>
          <w:color w:val="231F20"/>
          <w:sz w:val="24"/>
        </w:rPr>
        <w:t>be</w:t>
      </w:r>
      <w:r>
        <w:rPr>
          <w:color w:val="231F20"/>
          <w:spacing w:val="-2"/>
          <w:sz w:val="24"/>
        </w:rPr>
        <w:t> </w:t>
      </w:r>
      <w:r>
        <w:rPr>
          <w:color w:val="231F20"/>
          <w:sz w:val="24"/>
        </w:rPr>
        <w:t>required</w:t>
      </w:r>
      <w:r>
        <w:rPr>
          <w:color w:val="231F20"/>
          <w:spacing w:val="-2"/>
          <w:sz w:val="24"/>
        </w:rPr>
        <w:t> </w:t>
      </w:r>
      <w:r>
        <w:rPr>
          <w:color w:val="231F20"/>
          <w:sz w:val="24"/>
        </w:rPr>
        <w:t>to</w:t>
      </w:r>
      <w:r>
        <w:rPr>
          <w:color w:val="231F20"/>
          <w:spacing w:val="-2"/>
          <w:sz w:val="24"/>
        </w:rPr>
        <w:t> </w:t>
      </w:r>
      <w:r>
        <w:rPr>
          <w:color w:val="231F20"/>
          <w:sz w:val="24"/>
        </w:rPr>
        <w:t>file</w:t>
      </w:r>
      <w:r>
        <w:rPr>
          <w:color w:val="231F20"/>
          <w:spacing w:val="-3"/>
          <w:sz w:val="24"/>
        </w:rPr>
        <w:t> </w:t>
      </w:r>
      <w:r>
        <w:rPr>
          <w:color w:val="231F20"/>
          <w:sz w:val="24"/>
        </w:rPr>
        <w:t>an</w:t>
      </w:r>
      <w:r>
        <w:rPr>
          <w:color w:val="231F20"/>
          <w:spacing w:val="-2"/>
          <w:sz w:val="24"/>
        </w:rPr>
        <w:t> </w:t>
      </w:r>
      <w:r>
        <w:rPr>
          <w:color w:val="231F20"/>
          <w:sz w:val="24"/>
        </w:rPr>
        <w:t>annual</w:t>
      </w:r>
      <w:r>
        <w:rPr>
          <w:color w:val="231F20"/>
          <w:spacing w:val="-2"/>
          <w:sz w:val="24"/>
        </w:rPr>
        <w:t> </w:t>
      </w:r>
      <w:r>
        <w:rPr>
          <w:color w:val="231F20"/>
          <w:sz w:val="24"/>
        </w:rPr>
        <w:t>report</w:t>
      </w:r>
      <w:r>
        <w:rPr>
          <w:color w:val="231F20"/>
          <w:spacing w:val="-2"/>
          <w:sz w:val="24"/>
        </w:rPr>
        <w:t> </w:t>
      </w:r>
      <w:r>
        <w:rPr>
          <w:color w:val="231F20"/>
          <w:sz w:val="24"/>
        </w:rPr>
        <w:t>pursuant</w:t>
      </w:r>
      <w:r>
        <w:rPr>
          <w:color w:val="231F20"/>
          <w:spacing w:val="-3"/>
          <w:sz w:val="24"/>
        </w:rPr>
        <w:t> </w:t>
      </w:r>
      <w:r>
        <w:rPr>
          <w:color w:val="231F20"/>
          <w:sz w:val="24"/>
        </w:rPr>
        <w:t>to</w:t>
      </w:r>
      <w:r>
        <w:rPr>
          <w:color w:val="231F20"/>
          <w:spacing w:val="-2"/>
          <w:sz w:val="24"/>
        </w:rPr>
        <w:t> </w:t>
      </w:r>
      <w:r>
        <w:rPr>
          <w:color w:val="231F20"/>
          <w:sz w:val="24"/>
        </w:rPr>
        <w:t>Section</w:t>
      </w:r>
      <w:r>
        <w:rPr>
          <w:color w:val="231F20"/>
          <w:spacing w:val="-3"/>
          <w:sz w:val="24"/>
        </w:rPr>
        <w:t> </w:t>
      </w:r>
      <w:r>
        <w:rPr>
          <w:color w:val="231F20"/>
          <w:sz w:val="24"/>
        </w:rPr>
        <w:t>15(d)</w:t>
      </w:r>
      <w:r>
        <w:rPr>
          <w:color w:val="231F20"/>
          <w:spacing w:val="-2"/>
          <w:sz w:val="24"/>
        </w:rPr>
        <w:t> </w:t>
      </w:r>
      <w:r>
        <w:rPr>
          <w:color w:val="231F20"/>
          <w:sz w:val="24"/>
        </w:rPr>
        <w:t>of</w:t>
      </w:r>
      <w:r>
        <w:rPr>
          <w:color w:val="231F20"/>
          <w:spacing w:val="-2"/>
          <w:sz w:val="24"/>
        </w:rPr>
        <w:t> </w:t>
      </w:r>
      <w:r>
        <w:rPr>
          <w:color w:val="231F20"/>
          <w:sz w:val="24"/>
        </w:rPr>
        <w:t>the</w:t>
      </w:r>
      <w:r>
        <w:rPr>
          <w:color w:val="231F20"/>
          <w:spacing w:val="-16"/>
          <w:sz w:val="24"/>
        </w:rPr>
        <w:t> </w:t>
      </w:r>
      <w:r>
        <w:rPr>
          <w:color w:val="231F20"/>
          <w:sz w:val="24"/>
        </w:rPr>
        <w:t>Act</w:t>
      </w:r>
      <w:r>
        <w:rPr>
          <w:color w:val="231F20"/>
          <w:spacing w:val="-4"/>
          <w:sz w:val="24"/>
        </w:rPr>
        <w:t> </w:t>
      </w:r>
      <w:r>
        <w:rPr>
          <w:color w:val="231F20"/>
          <w:sz w:val="24"/>
        </w:rPr>
        <w:t>for</w:t>
      </w:r>
      <w:r>
        <w:rPr>
          <w:color w:val="231F20"/>
          <w:spacing w:val="-2"/>
          <w:sz w:val="24"/>
        </w:rPr>
        <w:t> </w:t>
      </w:r>
      <w:r>
        <w:rPr>
          <w:color w:val="231F20"/>
          <w:sz w:val="24"/>
        </w:rPr>
        <w:t>its</w:t>
      </w:r>
      <w:r>
        <w:rPr>
          <w:color w:val="231F20"/>
          <w:spacing w:val="-2"/>
          <w:sz w:val="24"/>
        </w:rPr>
        <w:t> </w:t>
      </w:r>
      <w:r>
        <w:rPr>
          <w:color w:val="231F20"/>
          <w:sz w:val="24"/>
        </w:rPr>
        <w:t>last</w:t>
      </w:r>
      <w:r>
        <w:rPr>
          <w:color w:val="231F20"/>
          <w:spacing w:val="-2"/>
          <w:sz w:val="24"/>
        </w:rPr>
        <w:t> </w:t>
      </w:r>
      <w:r>
        <w:rPr>
          <w:color w:val="231F20"/>
          <w:sz w:val="24"/>
        </w:rPr>
        <w:t>fis- cal year, except for the fact that the registration statement on this form will become effective before such report is</w:t>
      </w:r>
      <w:r>
        <w:rPr>
          <w:color w:val="231F20"/>
          <w:spacing w:val="-5"/>
          <w:sz w:val="24"/>
        </w:rPr>
        <w:t> </w:t>
      </w:r>
      <w:r>
        <w:rPr>
          <w:color w:val="231F20"/>
          <w:sz w:val="24"/>
        </w:rPr>
        <w:t>required</w:t>
      </w:r>
      <w:r>
        <w:rPr>
          <w:color w:val="231F20"/>
          <w:spacing w:val="-4"/>
          <w:sz w:val="24"/>
        </w:rPr>
        <w:t> </w:t>
      </w:r>
      <w:r>
        <w:rPr>
          <w:color w:val="231F20"/>
          <w:sz w:val="24"/>
        </w:rPr>
        <w:t>to</w:t>
      </w:r>
      <w:r>
        <w:rPr>
          <w:color w:val="231F20"/>
          <w:spacing w:val="-5"/>
          <w:sz w:val="24"/>
        </w:rPr>
        <w:t> </w:t>
      </w:r>
      <w:r>
        <w:rPr>
          <w:color w:val="231F20"/>
          <w:sz w:val="24"/>
        </w:rPr>
        <w:t>be</w:t>
      </w:r>
      <w:r>
        <w:rPr>
          <w:color w:val="231F20"/>
          <w:spacing w:val="-4"/>
          <w:sz w:val="24"/>
        </w:rPr>
        <w:t> </w:t>
      </w:r>
      <w:r>
        <w:rPr>
          <w:color w:val="231F20"/>
          <w:sz w:val="24"/>
        </w:rPr>
        <w:t>filed,</w:t>
      </w:r>
      <w:r>
        <w:rPr>
          <w:color w:val="231F20"/>
          <w:spacing w:val="-6"/>
          <w:sz w:val="24"/>
        </w:rPr>
        <w:t> </w:t>
      </w:r>
      <w:r>
        <w:rPr>
          <w:color w:val="231F20"/>
          <w:sz w:val="24"/>
        </w:rPr>
        <w:t>an</w:t>
      </w:r>
      <w:r>
        <w:rPr>
          <w:color w:val="231F20"/>
          <w:spacing w:val="-4"/>
          <w:sz w:val="24"/>
        </w:rPr>
        <w:t> </w:t>
      </w:r>
      <w:r>
        <w:rPr>
          <w:color w:val="231F20"/>
          <w:sz w:val="24"/>
        </w:rPr>
        <w:t>annual</w:t>
      </w:r>
      <w:r>
        <w:rPr>
          <w:color w:val="231F20"/>
          <w:spacing w:val="-5"/>
          <w:sz w:val="24"/>
        </w:rPr>
        <w:t> </w:t>
      </w:r>
      <w:r>
        <w:rPr>
          <w:color w:val="231F20"/>
          <w:sz w:val="24"/>
        </w:rPr>
        <w:t>report</w:t>
      </w:r>
      <w:r>
        <w:rPr>
          <w:color w:val="231F20"/>
          <w:spacing w:val="-4"/>
          <w:sz w:val="24"/>
        </w:rPr>
        <w:t> </w:t>
      </w:r>
      <w:r>
        <w:rPr>
          <w:color w:val="231F20"/>
          <w:sz w:val="24"/>
        </w:rPr>
        <w:t>for</w:t>
      </w:r>
      <w:r>
        <w:rPr>
          <w:color w:val="231F20"/>
          <w:spacing w:val="-5"/>
          <w:sz w:val="24"/>
        </w:rPr>
        <w:t> </w:t>
      </w:r>
      <w:r>
        <w:rPr>
          <w:color w:val="231F20"/>
          <w:sz w:val="24"/>
        </w:rPr>
        <w:t>such</w:t>
      </w:r>
      <w:r>
        <w:rPr>
          <w:color w:val="231F20"/>
          <w:spacing w:val="-5"/>
          <w:sz w:val="24"/>
        </w:rPr>
        <w:t> </w:t>
      </w:r>
      <w:r>
        <w:rPr>
          <w:color w:val="231F20"/>
          <w:sz w:val="24"/>
        </w:rPr>
        <w:t>fiscal</w:t>
      </w:r>
      <w:r>
        <w:rPr>
          <w:color w:val="231F20"/>
          <w:spacing w:val="-5"/>
          <w:sz w:val="24"/>
        </w:rPr>
        <w:t> </w:t>
      </w:r>
      <w:r>
        <w:rPr>
          <w:color w:val="231F20"/>
          <w:sz w:val="24"/>
        </w:rPr>
        <w:t>year</w:t>
      </w:r>
      <w:r>
        <w:rPr>
          <w:color w:val="231F20"/>
          <w:spacing w:val="-5"/>
          <w:sz w:val="24"/>
        </w:rPr>
        <w:t> </w:t>
      </w:r>
      <w:r>
        <w:rPr>
          <w:color w:val="231F20"/>
          <w:sz w:val="24"/>
        </w:rPr>
        <w:t>shall</w:t>
      </w:r>
      <w:r>
        <w:rPr>
          <w:color w:val="231F20"/>
          <w:spacing w:val="-5"/>
          <w:sz w:val="24"/>
        </w:rPr>
        <w:t> </w:t>
      </w:r>
      <w:r>
        <w:rPr>
          <w:color w:val="231F20"/>
          <w:sz w:val="24"/>
        </w:rPr>
        <w:t>nevertheless</w:t>
      </w:r>
      <w:r>
        <w:rPr>
          <w:color w:val="231F20"/>
          <w:spacing w:val="-5"/>
          <w:sz w:val="24"/>
        </w:rPr>
        <w:t> </w:t>
      </w:r>
      <w:r>
        <w:rPr>
          <w:color w:val="231F20"/>
          <w:sz w:val="24"/>
        </w:rPr>
        <w:t>be</w:t>
      </w:r>
      <w:r>
        <w:rPr>
          <w:color w:val="231F20"/>
          <w:spacing w:val="-4"/>
          <w:sz w:val="24"/>
        </w:rPr>
        <w:t> </w:t>
      </w:r>
      <w:r>
        <w:rPr>
          <w:color w:val="231F20"/>
          <w:sz w:val="24"/>
        </w:rPr>
        <w:t>filed</w:t>
      </w:r>
      <w:r>
        <w:rPr>
          <w:color w:val="231F20"/>
          <w:spacing w:val="-5"/>
          <w:sz w:val="24"/>
        </w:rPr>
        <w:t> </w:t>
      </w:r>
      <w:r>
        <w:rPr>
          <w:color w:val="231F20"/>
          <w:sz w:val="24"/>
        </w:rPr>
        <w:t>within</w:t>
      </w:r>
      <w:r>
        <w:rPr>
          <w:color w:val="231F20"/>
          <w:spacing w:val="-6"/>
          <w:sz w:val="24"/>
        </w:rPr>
        <w:t> </w:t>
      </w:r>
      <w:r>
        <w:rPr>
          <w:color w:val="231F20"/>
          <w:sz w:val="24"/>
        </w:rPr>
        <w:t>the</w:t>
      </w:r>
      <w:r>
        <w:rPr>
          <w:color w:val="231F20"/>
          <w:spacing w:val="-4"/>
          <w:sz w:val="24"/>
        </w:rPr>
        <w:t> </w:t>
      </w:r>
      <w:r>
        <w:rPr>
          <w:color w:val="231F20"/>
          <w:sz w:val="24"/>
        </w:rPr>
        <w:t>period</w:t>
      </w:r>
      <w:r>
        <w:rPr>
          <w:color w:val="231F20"/>
          <w:spacing w:val="-5"/>
          <w:sz w:val="24"/>
        </w:rPr>
        <w:t> </w:t>
      </w:r>
      <w:r>
        <w:rPr>
          <w:color w:val="231F20"/>
          <w:sz w:val="24"/>
        </w:rPr>
        <w:t>specified in the appropriate annual report form.</w:t>
      </w:r>
    </w:p>
    <w:p>
      <w:pPr>
        <w:pStyle w:val="BodyText"/>
        <w:spacing w:before="4"/>
        <w:rPr>
          <w:sz w:val="25"/>
        </w:rPr>
      </w:pPr>
    </w:p>
    <w:p>
      <w:pPr>
        <w:pStyle w:val="ListParagraph"/>
        <w:numPr>
          <w:ilvl w:val="0"/>
          <w:numId w:val="2"/>
        </w:numPr>
        <w:tabs>
          <w:tab w:pos="477" w:val="left" w:leader="none"/>
        </w:tabs>
        <w:spacing w:line="240" w:lineRule="auto" w:before="1" w:after="0"/>
        <w:ind w:left="476" w:right="0" w:hanging="327"/>
        <w:jc w:val="left"/>
        <w:rPr>
          <w:sz w:val="24"/>
        </w:rPr>
      </w:pPr>
      <w:r>
        <w:rPr>
          <w:color w:val="231F20"/>
          <w:sz w:val="24"/>
        </w:rPr>
        <w:t>If this form is used for the registration of a class of securities under Section 12(b), it shall become</w:t>
      </w:r>
      <w:r>
        <w:rPr>
          <w:color w:val="231F20"/>
          <w:spacing w:val="-30"/>
          <w:sz w:val="24"/>
        </w:rPr>
        <w:t> </w:t>
      </w:r>
      <w:r>
        <w:rPr>
          <w:color w:val="231F20"/>
          <w:sz w:val="24"/>
        </w:rPr>
        <w:t>effective:</w:t>
      </w:r>
    </w:p>
    <w:p>
      <w:pPr>
        <w:pStyle w:val="BodyText"/>
        <w:rPr>
          <w:sz w:val="26"/>
        </w:rPr>
      </w:pPr>
    </w:p>
    <w:p>
      <w:pPr>
        <w:pStyle w:val="ListParagraph"/>
        <w:numPr>
          <w:ilvl w:val="1"/>
          <w:numId w:val="2"/>
        </w:numPr>
        <w:tabs>
          <w:tab w:pos="1210" w:val="left" w:leader="none"/>
        </w:tabs>
        <w:spacing w:line="240" w:lineRule="auto" w:before="1" w:after="0"/>
        <w:ind w:left="1209" w:right="0" w:hanging="340"/>
        <w:jc w:val="left"/>
        <w:rPr>
          <w:sz w:val="24"/>
        </w:rPr>
      </w:pPr>
      <w:r>
        <w:rPr>
          <w:color w:val="231F20"/>
          <w:sz w:val="24"/>
        </w:rPr>
        <w:t>If a class of securities is not concurrently being registered under the Securities Act of 1933</w:t>
      </w:r>
      <w:r>
        <w:rPr>
          <w:color w:val="231F20"/>
          <w:spacing w:val="-28"/>
          <w:sz w:val="24"/>
        </w:rPr>
        <w:t> </w:t>
      </w:r>
      <w:r>
        <w:rPr>
          <w:color w:val="231F20"/>
          <w:sz w:val="24"/>
        </w:rPr>
        <w:t>(15</w:t>
      </w:r>
    </w:p>
    <w:p>
      <w:pPr>
        <w:pStyle w:val="BodyText"/>
        <w:spacing w:line="249" w:lineRule="auto" w:before="12"/>
        <w:ind w:left="150"/>
      </w:pPr>
      <w:r>
        <w:rPr>
          <w:color w:val="231F20"/>
        </w:rPr>
        <w:t>U.S.C. 77a et seq.) (“Securities Act”), upon the later of receipt by the Commission of certification from the national securities exchange listed on this form or the filing of the Form 8-A with the Commission; or</w:t>
      </w:r>
    </w:p>
    <w:p>
      <w:pPr>
        <w:pStyle w:val="BodyText"/>
        <w:spacing w:before="2"/>
        <w:rPr>
          <w:sz w:val="25"/>
        </w:rPr>
      </w:pPr>
    </w:p>
    <w:p>
      <w:pPr>
        <w:pStyle w:val="ListParagraph"/>
        <w:numPr>
          <w:ilvl w:val="1"/>
          <w:numId w:val="2"/>
        </w:numPr>
        <w:tabs>
          <w:tab w:pos="1210" w:val="left" w:leader="none"/>
        </w:tabs>
        <w:spacing w:line="249" w:lineRule="auto" w:before="0" w:after="0"/>
        <w:ind w:left="150" w:right="481" w:firstLine="720"/>
        <w:jc w:val="left"/>
        <w:rPr>
          <w:sz w:val="24"/>
        </w:rPr>
      </w:pPr>
      <w:r>
        <w:rPr>
          <w:color w:val="231F20"/>
          <w:sz w:val="24"/>
        </w:rPr>
        <w:t>If a class of securities is concurrently being registered under the Securities Act, upon the latest of the</w:t>
      </w:r>
      <w:r>
        <w:rPr>
          <w:color w:val="231F20"/>
          <w:spacing w:val="-3"/>
          <w:sz w:val="24"/>
        </w:rPr>
        <w:t> </w:t>
      </w:r>
      <w:r>
        <w:rPr>
          <w:color w:val="231F20"/>
          <w:sz w:val="24"/>
        </w:rPr>
        <w:t>filing</w:t>
      </w:r>
      <w:r>
        <w:rPr>
          <w:color w:val="231F20"/>
          <w:spacing w:val="-3"/>
          <w:sz w:val="24"/>
        </w:rPr>
        <w:t> </w:t>
      </w:r>
      <w:r>
        <w:rPr>
          <w:color w:val="231F20"/>
          <w:sz w:val="24"/>
        </w:rPr>
        <w:t>of</w:t>
      </w:r>
      <w:r>
        <w:rPr>
          <w:color w:val="231F20"/>
          <w:spacing w:val="-2"/>
          <w:sz w:val="24"/>
        </w:rPr>
        <w:t> </w:t>
      </w:r>
      <w:r>
        <w:rPr>
          <w:color w:val="231F20"/>
          <w:sz w:val="24"/>
        </w:rPr>
        <w:t>the</w:t>
      </w:r>
      <w:r>
        <w:rPr>
          <w:color w:val="231F20"/>
          <w:spacing w:val="-2"/>
          <w:sz w:val="24"/>
        </w:rPr>
        <w:t> </w:t>
      </w:r>
      <w:r>
        <w:rPr>
          <w:color w:val="231F20"/>
          <w:sz w:val="24"/>
        </w:rPr>
        <w:t>Form</w:t>
      </w:r>
      <w:r>
        <w:rPr>
          <w:color w:val="231F20"/>
          <w:spacing w:val="-3"/>
          <w:sz w:val="24"/>
        </w:rPr>
        <w:t> </w:t>
      </w:r>
      <w:r>
        <w:rPr>
          <w:color w:val="231F20"/>
          <w:sz w:val="24"/>
        </w:rPr>
        <w:t>8-A</w:t>
      </w:r>
      <w:r>
        <w:rPr>
          <w:color w:val="231F20"/>
          <w:spacing w:val="-16"/>
          <w:sz w:val="24"/>
        </w:rPr>
        <w:t> </w:t>
      </w:r>
      <w:r>
        <w:rPr>
          <w:color w:val="231F20"/>
          <w:sz w:val="24"/>
        </w:rPr>
        <w:t>with</w:t>
      </w:r>
      <w:r>
        <w:rPr>
          <w:color w:val="231F20"/>
          <w:spacing w:val="-3"/>
          <w:sz w:val="24"/>
        </w:rPr>
        <w:t> </w:t>
      </w:r>
      <w:r>
        <w:rPr>
          <w:color w:val="231F20"/>
          <w:sz w:val="24"/>
        </w:rPr>
        <w:t>the</w:t>
      </w:r>
      <w:r>
        <w:rPr>
          <w:color w:val="231F20"/>
          <w:spacing w:val="-2"/>
          <w:sz w:val="24"/>
        </w:rPr>
        <w:t> </w:t>
      </w:r>
      <w:r>
        <w:rPr>
          <w:color w:val="231F20"/>
          <w:sz w:val="24"/>
        </w:rPr>
        <w:t>Commission,</w:t>
      </w:r>
      <w:r>
        <w:rPr>
          <w:color w:val="231F20"/>
          <w:spacing w:val="-3"/>
          <w:sz w:val="24"/>
        </w:rPr>
        <w:t> </w:t>
      </w:r>
      <w:r>
        <w:rPr>
          <w:color w:val="231F20"/>
          <w:sz w:val="24"/>
        </w:rPr>
        <w:t>receipt</w:t>
      </w:r>
      <w:r>
        <w:rPr>
          <w:color w:val="231F20"/>
          <w:spacing w:val="-2"/>
          <w:sz w:val="24"/>
        </w:rPr>
        <w:t> </w:t>
      </w:r>
      <w:r>
        <w:rPr>
          <w:color w:val="231F20"/>
          <w:sz w:val="24"/>
        </w:rPr>
        <w:t>by</w:t>
      </w:r>
      <w:r>
        <w:rPr>
          <w:color w:val="231F20"/>
          <w:spacing w:val="-2"/>
          <w:sz w:val="24"/>
        </w:rPr>
        <w:t> </w:t>
      </w:r>
      <w:r>
        <w:rPr>
          <w:color w:val="231F20"/>
          <w:sz w:val="24"/>
        </w:rPr>
        <w:t>the</w:t>
      </w:r>
      <w:r>
        <w:rPr>
          <w:color w:val="231F20"/>
          <w:spacing w:val="-2"/>
          <w:sz w:val="24"/>
        </w:rPr>
        <w:t> </w:t>
      </w:r>
      <w:r>
        <w:rPr>
          <w:color w:val="231F20"/>
          <w:sz w:val="24"/>
        </w:rPr>
        <w:t>Commission</w:t>
      </w:r>
      <w:r>
        <w:rPr>
          <w:color w:val="231F20"/>
          <w:spacing w:val="-2"/>
          <w:sz w:val="24"/>
        </w:rPr>
        <w:t> </w:t>
      </w:r>
      <w:r>
        <w:rPr>
          <w:color w:val="231F20"/>
          <w:sz w:val="24"/>
        </w:rPr>
        <w:t>of</w:t>
      </w:r>
      <w:r>
        <w:rPr>
          <w:color w:val="231F20"/>
          <w:spacing w:val="-3"/>
          <w:sz w:val="24"/>
        </w:rPr>
        <w:t> </w:t>
      </w:r>
      <w:r>
        <w:rPr>
          <w:color w:val="231F20"/>
          <w:sz w:val="24"/>
        </w:rPr>
        <w:t>certification</w:t>
      </w:r>
      <w:r>
        <w:rPr>
          <w:color w:val="231F20"/>
          <w:spacing w:val="-2"/>
          <w:sz w:val="24"/>
        </w:rPr>
        <w:t> </w:t>
      </w:r>
      <w:r>
        <w:rPr>
          <w:color w:val="231F20"/>
          <w:sz w:val="24"/>
        </w:rPr>
        <w:t>from</w:t>
      </w:r>
      <w:r>
        <w:rPr>
          <w:color w:val="231F20"/>
          <w:spacing w:val="-2"/>
          <w:sz w:val="24"/>
        </w:rPr>
        <w:t> </w:t>
      </w:r>
      <w:r>
        <w:rPr>
          <w:color w:val="231F20"/>
          <w:sz w:val="24"/>
        </w:rPr>
        <w:t>the</w:t>
      </w:r>
      <w:r>
        <w:rPr>
          <w:color w:val="231F20"/>
          <w:spacing w:val="-2"/>
          <w:sz w:val="24"/>
        </w:rPr>
        <w:t> </w:t>
      </w:r>
      <w:r>
        <w:rPr>
          <w:color w:val="231F20"/>
          <w:sz w:val="24"/>
        </w:rPr>
        <w:t>national securities exchange listed on this form or effectiveness of the Securities Act registration statement relating to the class of</w:t>
      </w:r>
      <w:r>
        <w:rPr>
          <w:color w:val="231F20"/>
          <w:spacing w:val="-1"/>
          <w:sz w:val="24"/>
        </w:rPr>
        <w:t> </w:t>
      </w:r>
      <w:r>
        <w:rPr>
          <w:color w:val="231F20"/>
          <w:sz w:val="24"/>
        </w:rPr>
        <w:t>securities.</w:t>
      </w:r>
    </w:p>
    <w:p>
      <w:pPr>
        <w:pStyle w:val="BodyText"/>
        <w:spacing w:before="4"/>
        <w:rPr>
          <w:sz w:val="25"/>
        </w:rPr>
      </w:pPr>
    </w:p>
    <w:p>
      <w:pPr>
        <w:pStyle w:val="ListParagraph"/>
        <w:numPr>
          <w:ilvl w:val="0"/>
          <w:numId w:val="2"/>
        </w:numPr>
        <w:tabs>
          <w:tab w:pos="490" w:val="left" w:leader="none"/>
        </w:tabs>
        <w:spacing w:line="240" w:lineRule="auto" w:before="1" w:after="0"/>
        <w:ind w:left="489" w:right="0" w:hanging="340"/>
        <w:jc w:val="left"/>
        <w:rPr>
          <w:sz w:val="24"/>
        </w:rPr>
      </w:pPr>
      <w:r>
        <w:rPr>
          <w:color w:val="231F20"/>
          <w:sz w:val="24"/>
        </w:rPr>
        <w:t>If this form is used for the registration of a class of securities under Section 12(g), it shall become</w:t>
      </w:r>
      <w:r>
        <w:rPr>
          <w:color w:val="231F20"/>
          <w:spacing w:val="-30"/>
          <w:sz w:val="24"/>
        </w:rPr>
        <w:t> </w:t>
      </w:r>
      <w:r>
        <w:rPr>
          <w:color w:val="231F20"/>
          <w:sz w:val="24"/>
        </w:rPr>
        <w:t>effective:</w:t>
      </w:r>
    </w:p>
    <w:p>
      <w:pPr>
        <w:pStyle w:val="BodyText"/>
        <w:rPr>
          <w:sz w:val="26"/>
        </w:rPr>
      </w:pPr>
    </w:p>
    <w:p>
      <w:pPr>
        <w:pStyle w:val="ListParagraph"/>
        <w:numPr>
          <w:ilvl w:val="1"/>
          <w:numId w:val="2"/>
        </w:numPr>
        <w:tabs>
          <w:tab w:pos="1210" w:val="left" w:leader="none"/>
        </w:tabs>
        <w:spacing w:line="249" w:lineRule="auto" w:before="1" w:after="0"/>
        <w:ind w:left="150" w:right="212" w:firstLine="720"/>
        <w:jc w:val="left"/>
        <w:rPr>
          <w:sz w:val="24"/>
        </w:rPr>
      </w:pPr>
      <w:r>
        <w:rPr>
          <w:color w:val="231F20"/>
          <w:sz w:val="24"/>
        </w:rPr>
        <w:t>If</w:t>
      </w:r>
      <w:r>
        <w:rPr>
          <w:color w:val="231F20"/>
          <w:spacing w:val="-3"/>
          <w:sz w:val="24"/>
        </w:rPr>
        <w:t> </w:t>
      </w:r>
      <w:r>
        <w:rPr>
          <w:color w:val="231F20"/>
          <w:sz w:val="24"/>
        </w:rPr>
        <w:t>a</w:t>
      </w:r>
      <w:r>
        <w:rPr>
          <w:color w:val="231F20"/>
          <w:spacing w:val="-2"/>
          <w:sz w:val="24"/>
        </w:rPr>
        <w:t> </w:t>
      </w:r>
      <w:r>
        <w:rPr>
          <w:color w:val="231F20"/>
          <w:sz w:val="24"/>
        </w:rPr>
        <w:t>class</w:t>
      </w:r>
      <w:r>
        <w:rPr>
          <w:color w:val="231F20"/>
          <w:spacing w:val="-2"/>
          <w:sz w:val="24"/>
        </w:rPr>
        <w:t> </w:t>
      </w:r>
      <w:r>
        <w:rPr>
          <w:color w:val="231F20"/>
          <w:sz w:val="24"/>
        </w:rPr>
        <w:t>of</w:t>
      </w:r>
      <w:r>
        <w:rPr>
          <w:color w:val="231F20"/>
          <w:spacing w:val="-3"/>
          <w:sz w:val="24"/>
        </w:rPr>
        <w:t> </w:t>
      </w:r>
      <w:r>
        <w:rPr>
          <w:color w:val="231F20"/>
          <w:sz w:val="24"/>
        </w:rPr>
        <w:t>securities</w:t>
      </w:r>
      <w:r>
        <w:rPr>
          <w:color w:val="231F20"/>
          <w:spacing w:val="-3"/>
          <w:sz w:val="24"/>
        </w:rPr>
        <w:t> </w:t>
      </w:r>
      <w:r>
        <w:rPr>
          <w:color w:val="231F20"/>
          <w:sz w:val="24"/>
        </w:rPr>
        <w:t>is</w:t>
      </w:r>
      <w:r>
        <w:rPr>
          <w:color w:val="231F20"/>
          <w:spacing w:val="-2"/>
          <w:sz w:val="24"/>
        </w:rPr>
        <w:t> </w:t>
      </w:r>
      <w:r>
        <w:rPr>
          <w:color w:val="231F20"/>
          <w:sz w:val="24"/>
        </w:rPr>
        <w:t>not</w:t>
      </w:r>
      <w:r>
        <w:rPr>
          <w:color w:val="231F20"/>
          <w:spacing w:val="-2"/>
          <w:sz w:val="24"/>
        </w:rPr>
        <w:t> </w:t>
      </w:r>
      <w:r>
        <w:rPr>
          <w:color w:val="231F20"/>
          <w:sz w:val="24"/>
        </w:rPr>
        <w:t>concurrently</w:t>
      </w:r>
      <w:r>
        <w:rPr>
          <w:color w:val="231F20"/>
          <w:spacing w:val="-3"/>
          <w:sz w:val="24"/>
        </w:rPr>
        <w:t> </w:t>
      </w:r>
      <w:r>
        <w:rPr>
          <w:color w:val="231F20"/>
          <w:sz w:val="24"/>
        </w:rPr>
        <w:t>being</w:t>
      </w:r>
      <w:r>
        <w:rPr>
          <w:color w:val="231F20"/>
          <w:spacing w:val="-2"/>
          <w:sz w:val="24"/>
        </w:rPr>
        <w:t> </w:t>
      </w:r>
      <w:r>
        <w:rPr>
          <w:color w:val="231F20"/>
          <w:sz w:val="24"/>
        </w:rPr>
        <w:t>registered</w:t>
      </w:r>
      <w:r>
        <w:rPr>
          <w:color w:val="231F20"/>
          <w:spacing w:val="-2"/>
          <w:sz w:val="24"/>
        </w:rPr>
        <w:t> </w:t>
      </w:r>
      <w:r>
        <w:rPr>
          <w:color w:val="231F20"/>
          <w:sz w:val="24"/>
        </w:rPr>
        <w:t>under</w:t>
      </w:r>
      <w:r>
        <w:rPr>
          <w:color w:val="231F20"/>
          <w:spacing w:val="-2"/>
          <w:sz w:val="24"/>
        </w:rPr>
        <w:t> </w:t>
      </w:r>
      <w:r>
        <w:rPr>
          <w:color w:val="231F20"/>
          <w:sz w:val="24"/>
        </w:rPr>
        <w:t>the</w:t>
      </w:r>
      <w:r>
        <w:rPr>
          <w:color w:val="231F20"/>
          <w:spacing w:val="-3"/>
          <w:sz w:val="24"/>
        </w:rPr>
        <w:t> </w:t>
      </w:r>
      <w:r>
        <w:rPr>
          <w:color w:val="231F20"/>
          <w:sz w:val="24"/>
        </w:rPr>
        <w:t>Securities</w:t>
      </w:r>
      <w:r>
        <w:rPr>
          <w:color w:val="231F20"/>
          <w:spacing w:val="-16"/>
          <w:sz w:val="24"/>
        </w:rPr>
        <w:t> </w:t>
      </w:r>
      <w:r>
        <w:rPr>
          <w:color w:val="231F20"/>
          <w:sz w:val="24"/>
        </w:rPr>
        <w:t>Act,</w:t>
      </w:r>
      <w:r>
        <w:rPr>
          <w:color w:val="231F20"/>
          <w:spacing w:val="-4"/>
          <w:sz w:val="24"/>
        </w:rPr>
        <w:t> </w:t>
      </w:r>
      <w:r>
        <w:rPr>
          <w:color w:val="231F20"/>
          <w:sz w:val="24"/>
        </w:rPr>
        <w:t>upon</w:t>
      </w:r>
      <w:r>
        <w:rPr>
          <w:color w:val="231F20"/>
          <w:spacing w:val="-2"/>
          <w:sz w:val="24"/>
        </w:rPr>
        <w:t> </w:t>
      </w:r>
      <w:r>
        <w:rPr>
          <w:color w:val="231F20"/>
          <w:sz w:val="24"/>
        </w:rPr>
        <w:t>the</w:t>
      </w:r>
      <w:r>
        <w:rPr>
          <w:color w:val="231F20"/>
          <w:spacing w:val="-2"/>
          <w:sz w:val="24"/>
        </w:rPr>
        <w:t> </w:t>
      </w:r>
      <w:r>
        <w:rPr>
          <w:color w:val="231F20"/>
          <w:sz w:val="24"/>
        </w:rPr>
        <w:t>filing</w:t>
      </w:r>
      <w:r>
        <w:rPr>
          <w:color w:val="231F20"/>
          <w:spacing w:val="-3"/>
          <w:sz w:val="24"/>
        </w:rPr>
        <w:t> </w:t>
      </w:r>
      <w:r>
        <w:rPr>
          <w:color w:val="231F20"/>
          <w:sz w:val="24"/>
        </w:rPr>
        <w:t>of the Form 8-A with the Commission;</w:t>
      </w:r>
      <w:r>
        <w:rPr>
          <w:color w:val="231F20"/>
          <w:spacing w:val="-17"/>
          <w:sz w:val="24"/>
        </w:rPr>
        <w:t> </w:t>
      </w:r>
      <w:r>
        <w:rPr>
          <w:color w:val="231F20"/>
          <w:sz w:val="24"/>
        </w:rPr>
        <w:t>or</w:t>
      </w:r>
    </w:p>
    <w:p>
      <w:pPr>
        <w:pStyle w:val="BodyText"/>
        <w:spacing w:before="2"/>
        <w:rPr>
          <w:sz w:val="25"/>
        </w:rPr>
      </w:pPr>
    </w:p>
    <w:p>
      <w:pPr>
        <w:pStyle w:val="ListParagraph"/>
        <w:numPr>
          <w:ilvl w:val="1"/>
          <w:numId w:val="2"/>
        </w:numPr>
        <w:tabs>
          <w:tab w:pos="1210" w:val="left" w:leader="none"/>
        </w:tabs>
        <w:spacing w:line="249" w:lineRule="auto" w:before="0" w:after="0"/>
        <w:ind w:left="150" w:right="471" w:firstLine="720"/>
        <w:jc w:val="left"/>
        <w:rPr>
          <w:sz w:val="24"/>
        </w:rPr>
      </w:pPr>
      <w:r>
        <w:rPr>
          <w:color w:val="231F20"/>
          <w:sz w:val="24"/>
        </w:rPr>
        <w:t>If class of securities is concurrently being registered under the Securities Act, upon the later of</w:t>
      </w:r>
      <w:r>
        <w:rPr>
          <w:color w:val="231F20"/>
          <w:spacing w:val="-38"/>
          <w:sz w:val="24"/>
        </w:rPr>
        <w:t> </w:t>
      </w:r>
      <w:r>
        <w:rPr>
          <w:color w:val="231F20"/>
          <w:sz w:val="24"/>
        </w:rPr>
        <w:t>the filing of the Form 8-A with the Commission or the effectiveness of the Securities Act registration statement relating to the class of</w:t>
      </w:r>
      <w:r>
        <w:rPr>
          <w:color w:val="231F20"/>
          <w:spacing w:val="-1"/>
          <w:sz w:val="24"/>
        </w:rPr>
        <w:t> </w:t>
      </w:r>
      <w:r>
        <w:rPr>
          <w:color w:val="231F20"/>
          <w:sz w:val="24"/>
        </w:rPr>
        <w:t>securities.</w:t>
      </w:r>
    </w:p>
    <w:p>
      <w:pPr>
        <w:pStyle w:val="BodyText"/>
        <w:spacing w:before="3"/>
        <w:rPr>
          <w:sz w:val="25"/>
        </w:rPr>
      </w:pPr>
    </w:p>
    <w:p>
      <w:pPr>
        <w:pStyle w:val="ListParagraph"/>
        <w:numPr>
          <w:ilvl w:val="0"/>
          <w:numId w:val="2"/>
        </w:numPr>
        <w:tabs>
          <w:tab w:pos="477" w:val="left" w:leader="none"/>
        </w:tabs>
        <w:spacing w:line="240" w:lineRule="auto" w:before="1" w:after="0"/>
        <w:ind w:left="476" w:right="0" w:hanging="327"/>
        <w:jc w:val="left"/>
        <w:rPr>
          <w:sz w:val="24"/>
        </w:rPr>
      </w:pPr>
      <w:r>
        <w:rPr>
          <w:color w:val="231F20"/>
          <w:sz w:val="24"/>
        </w:rPr>
        <w:t>Notwithstanding the foregoing in paragraphs (c) and (d) of this form, if this form is used for registration of</w:t>
      </w:r>
      <w:r>
        <w:rPr>
          <w:color w:val="231F20"/>
          <w:spacing w:val="-13"/>
          <w:sz w:val="24"/>
        </w:rPr>
        <w:t> </w:t>
      </w:r>
      <w:r>
        <w:rPr>
          <w:color w:val="231F20"/>
          <w:sz w:val="24"/>
        </w:rPr>
        <w:t>a</w:t>
      </w:r>
    </w:p>
    <w:p>
      <w:pPr>
        <w:pStyle w:val="BodyText"/>
        <w:spacing w:before="12"/>
        <w:ind w:left="150"/>
      </w:pPr>
      <w:r>
        <w:rPr>
          <w:color w:val="231F20"/>
        </w:rPr>
        <w:t>class of securities being offered under Regulation A, it shall become effective:</w:t>
      </w:r>
    </w:p>
    <w:p>
      <w:pPr>
        <w:spacing w:after="0"/>
        <w:sectPr>
          <w:footerReference w:type="default" r:id="rId5"/>
          <w:footerReference w:type="even" r:id="rId6"/>
          <w:type w:val="continuous"/>
          <w:pgSz w:w="12240" w:h="15840"/>
          <w:pgMar w:footer="466" w:top="620" w:bottom="740" w:left="600" w:right="540"/>
          <w:pgNumType w:start="1"/>
        </w:sectPr>
      </w:pPr>
    </w:p>
    <w:p>
      <w:pPr>
        <w:pStyle w:val="ListParagraph"/>
        <w:numPr>
          <w:ilvl w:val="1"/>
          <w:numId w:val="2"/>
        </w:numPr>
        <w:tabs>
          <w:tab w:pos="1180" w:val="left" w:leader="none"/>
        </w:tabs>
        <w:spacing w:line="249" w:lineRule="auto" w:before="72" w:after="0"/>
        <w:ind w:left="120" w:right="542" w:firstLine="720"/>
        <w:jc w:val="left"/>
        <w:rPr>
          <w:sz w:val="24"/>
        </w:rPr>
      </w:pPr>
      <w:r>
        <w:rPr>
          <w:color w:val="231F20"/>
          <w:sz w:val="24"/>
        </w:rPr>
        <w:t>For the registration of a class of securities under Section 12(b), upon the latest of the filing of the Form</w:t>
      </w:r>
      <w:r>
        <w:rPr>
          <w:color w:val="231F20"/>
          <w:spacing w:val="-4"/>
          <w:sz w:val="24"/>
        </w:rPr>
        <w:t> </w:t>
      </w:r>
      <w:r>
        <w:rPr>
          <w:color w:val="231F20"/>
          <w:sz w:val="24"/>
        </w:rPr>
        <w:t>8-A</w:t>
      </w:r>
      <w:r>
        <w:rPr>
          <w:color w:val="231F20"/>
          <w:spacing w:val="-16"/>
          <w:sz w:val="24"/>
        </w:rPr>
        <w:t> </w:t>
      </w:r>
      <w:r>
        <w:rPr>
          <w:color w:val="231F20"/>
          <w:sz w:val="24"/>
        </w:rPr>
        <w:t>with</w:t>
      </w:r>
      <w:r>
        <w:rPr>
          <w:color w:val="231F20"/>
          <w:spacing w:val="-3"/>
          <w:sz w:val="24"/>
        </w:rPr>
        <w:t> </w:t>
      </w:r>
      <w:r>
        <w:rPr>
          <w:color w:val="231F20"/>
          <w:sz w:val="24"/>
        </w:rPr>
        <w:t>the</w:t>
      </w:r>
      <w:r>
        <w:rPr>
          <w:color w:val="231F20"/>
          <w:spacing w:val="-3"/>
          <w:sz w:val="24"/>
        </w:rPr>
        <w:t> </w:t>
      </w:r>
      <w:r>
        <w:rPr>
          <w:color w:val="231F20"/>
          <w:sz w:val="24"/>
        </w:rPr>
        <w:t>Commission,</w:t>
      </w:r>
      <w:r>
        <w:rPr>
          <w:color w:val="231F20"/>
          <w:spacing w:val="-2"/>
          <w:sz w:val="24"/>
        </w:rPr>
        <w:t> </w:t>
      </w:r>
      <w:r>
        <w:rPr>
          <w:color w:val="231F20"/>
          <w:sz w:val="24"/>
        </w:rPr>
        <w:t>the</w:t>
      </w:r>
      <w:r>
        <w:rPr>
          <w:color w:val="231F20"/>
          <w:spacing w:val="-3"/>
          <w:sz w:val="24"/>
        </w:rPr>
        <w:t> </w:t>
      </w:r>
      <w:r>
        <w:rPr>
          <w:color w:val="231F20"/>
          <w:sz w:val="24"/>
        </w:rPr>
        <w:t>qualification</w:t>
      </w:r>
      <w:r>
        <w:rPr>
          <w:color w:val="231F20"/>
          <w:spacing w:val="-3"/>
          <w:sz w:val="24"/>
        </w:rPr>
        <w:t> </w:t>
      </w:r>
      <w:r>
        <w:rPr>
          <w:color w:val="231F20"/>
          <w:sz w:val="24"/>
        </w:rPr>
        <w:t>of</w:t>
      </w:r>
      <w:r>
        <w:rPr>
          <w:color w:val="231F20"/>
          <w:spacing w:val="-2"/>
          <w:sz w:val="24"/>
        </w:rPr>
        <w:t> </w:t>
      </w:r>
      <w:r>
        <w:rPr>
          <w:color w:val="231F20"/>
          <w:sz w:val="24"/>
        </w:rPr>
        <w:t>the</w:t>
      </w:r>
      <w:r>
        <w:rPr>
          <w:color w:val="231F20"/>
          <w:spacing w:val="-3"/>
          <w:sz w:val="24"/>
        </w:rPr>
        <w:t> </w:t>
      </w:r>
      <w:r>
        <w:rPr>
          <w:color w:val="231F20"/>
          <w:sz w:val="24"/>
        </w:rPr>
        <w:t>Regulation</w:t>
      </w:r>
      <w:r>
        <w:rPr>
          <w:color w:val="231F20"/>
          <w:spacing w:val="-16"/>
          <w:sz w:val="24"/>
        </w:rPr>
        <w:t> </w:t>
      </w:r>
      <w:r>
        <w:rPr>
          <w:color w:val="231F20"/>
          <w:sz w:val="24"/>
        </w:rPr>
        <w:t>A</w:t>
      </w:r>
      <w:r>
        <w:rPr>
          <w:color w:val="231F20"/>
          <w:spacing w:val="-16"/>
          <w:sz w:val="24"/>
        </w:rPr>
        <w:t> </w:t>
      </w:r>
      <w:r>
        <w:rPr>
          <w:color w:val="231F20"/>
          <w:sz w:val="24"/>
        </w:rPr>
        <w:t>offering</w:t>
      </w:r>
      <w:r>
        <w:rPr>
          <w:color w:val="231F20"/>
          <w:spacing w:val="-3"/>
          <w:sz w:val="24"/>
        </w:rPr>
        <w:t> </w:t>
      </w:r>
      <w:r>
        <w:rPr>
          <w:color w:val="231F20"/>
          <w:sz w:val="24"/>
        </w:rPr>
        <w:t>statement</w:t>
      </w:r>
      <w:r>
        <w:rPr>
          <w:color w:val="231F20"/>
          <w:spacing w:val="-3"/>
          <w:sz w:val="24"/>
        </w:rPr>
        <w:t> </w:t>
      </w:r>
      <w:r>
        <w:rPr>
          <w:color w:val="231F20"/>
          <w:sz w:val="24"/>
        </w:rPr>
        <w:t>or</w:t>
      </w:r>
      <w:r>
        <w:rPr>
          <w:color w:val="231F20"/>
          <w:spacing w:val="-3"/>
          <w:sz w:val="24"/>
        </w:rPr>
        <w:t> </w:t>
      </w:r>
      <w:r>
        <w:rPr>
          <w:color w:val="231F20"/>
          <w:sz w:val="24"/>
        </w:rPr>
        <w:t>the</w:t>
      </w:r>
      <w:r>
        <w:rPr>
          <w:color w:val="231F20"/>
          <w:spacing w:val="-3"/>
          <w:sz w:val="24"/>
        </w:rPr>
        <w:t> </w:t>
      </w:r>
      <w:r>
        <w:rPr>
          <w:color w:val="231F20"/>
          <w:sz w:val="24"/>
        </w:rPr>
        <w:t>receipt</w:t>
      </w:r>
      <w:r>
        <w:rPr>
          <w:color w:val="231F20"/>
          <w:spacing w:val="-2"/>
          <w:sz w:val="24"/>
        </w:rPr>
        <w:t> </w:t>
      </w:r>
      <w:r>
        <w:rPr>
          <w:color w:val="231F20"/>
          <w:sz w:val="24"/>
        </w:rPr>
        <w:t>by</w:t>
      </w:r>
      <w:r>
        <w:rPr>
          <w:color w:val="231F20"/>
          <w:spacing w:val="-3"/>
          <w:sz w:val="24"/>
        </w:rPr>
        <w:t> </w:t>
      </w:r>
      <w:r>
        <w:rPr>
          <w:color w:val="231F20"/>
          <w:sz w:val="24"/>
        </w:rPr>
        <w:t>the Commission of certification from the national securities exchange listed on this form;</w:t>
      </w:r>
      <w:r>
        <w:rPr>
          <w:color w:val="231F20"/>
          <w:spacing w:val="-7"/>
          <w:sz w:val="24"/>
        </w:rPr>
        <w:t> </w:t>
      </w:r>
      <w:r>
        <w:rPr>
          <w:color w:val="231F20"/>
          <w:sz w:val="24"/>
        </w:rPr>
        <w:t>or</w:t>
      </w:r>
    </w:p>
    <w:p>
      <w:pPr>
        <w:pStyle w:val="BodyText"/>
        <w:spacing w:before="3"/>
        <w:rPr>
          <w:sz w:val="25"/>
        </w:rPr>
      </w:pPr>
    </w:p>
    <w:p>
      <w:pPr>
        <w:pStyle w:val="ListParagraph"/>
        <w:numPr>
          <w:ilvl w:val="1"/>
          <w:numId w:val="2"/>
        </w:numPr>
        <w:tabs>
          <w:tab w:pos="1180" w:val="left" w:leader="none"/>
        </w:tabs>
        <w:spacing w:line="249" w:lineRule="auto" w:before="1" w:after="0"/>
        <w:ind w:left="120" w:right="700" w:firstLine="720"/>
        <w:jc w:val="left"/>
        <w:rPr>
          <w:sz w:val="24"/>
        </w:rPr>
      </w:pPr>
      <w:r>
        <w:rPr>
          <w:color w:val="231F20"/>
          <w:sz w:val="24"/>
        </w:rPr>
        <w:t>For the registration of a class of securities under Section 12(g), upon the later of the filing of</w:t>
      </w:r>
      <w:r>
        <w:rPr>
          <w:color w:val="231F20"/>
          <w:spacing w:val="-39"/>
          <w:sz w:val="24"/>
        </w:rPr>
        <w:t> </w:t>
      </w:r>
      <w:r>
        <w:rPr>
          <w:color w:val="231F20"/>
          <w:sz w:val="24"/>
        </w:rPr>
        <w:t>the Form</w:t>
      </w:r>
      <w:r>
        <w:rPr>
          <w:color w:val="231F20"/>
          <w:spacing w:val="-2"/>
          <w:sz w:val="24"/>
        </w:rPr>
        <w:t> </w:t>
      </w:r>
      <w:r>
        <w:rPr>
          <w:color w:val="231F20"/>
          <w:sz w:val="24"/>
        </w:rPr>
        <w:t>8-A</w:t>
      </w:r>
      <w:r>
        <w:rPr>
          <w:color w:val="231F20"/>
          <w:spacing w:val="-14"/>
          <w:sz w:val="24"/>
        </w:rPr>
        <w:t> </w:t>
      </w:r>
      <w:r>
        <w:rPr>
          <w:color w:val="231F20"/>
          <w:sz w:val="24"/>
        </w:rPr>
        <w:t>and</w:t>
      </w:r>
      <w:r>
        <w:rPr>
          <w:color w:val="231F20"/>
          <w:spacing w:val="-1"/>
          <w:sz w:val="24"/>
        </w:rPr>
        <w:t> </w:t>
      </w:r>
      <w:r>
        <w:rPr>
          <w:color w:val="231F20"/>
          <w:sz w:val="24"/>
        </w:rPr>
        <w:t>qualification</w:t>
      </w:r>
      <w:r>
        <w:rPr>
          <w:color w:val="231F20"/>
          <w:spacing w:val="-1"/>
          <w:sz w:val="24"/>
        </w:rPr>
        <w:t> </w:t>
      </w:r>
      <w:r>
        <w:rPr>
          <w:color w:val="231F20"/>
          <w:sz w:val="24"/>
        </w:rPr>
        <w:t>of the</w:t>
      </w:r>
      <w:r>
        <w:rPr>
          <w:color w:val="231F20"/>
          <w:spacing w:val="-1"/>
          <w:sz w:val="24"/>
        </w:rPr>
        <w:t> </w:t>
      </w:r>
      <w:r>
        <w:rPr>
          <w:color w:val="231F20"/>
          <w:sz w:val="24"/>
        </w:rPr>
        <w:t>Regulation</w:t>
      </w:r>
      <w:r>
        <w:rPr>
          <w:color w:val="231F20"/>
          <w:spacing w:val="-14"/>
          <w:sz w:val="24"/>
        </w:rPr>
        <w:t> </w:t>
      </w:r>
      <w:r>
        <w:rPr>
          <w:color w:val="231F20"/>
          <w:sz w:val="24"/>
        </w:rPr>
        <w:t>A</w:t>
      </w:r>
      <w:r>
        <w:rPr>
          <w:color w:val="231F20"/>
          <w:spacing w:val="-15"/>
          <w:sz w:val="24"/>
        </w:rPr>
        <w:t> </w:t>
      </w:r>
      <w:r>
        <w:rPr>
          <w:color w:val="231F20"/>
          <w:sz w:val="24"/>
        </w:rPr>
        <w:t>offering statement.</w:t>
      </w:r>
    </w:p>
    <w:p>
      <w:pPr>
        <w:pStyle w:val="BodyText"/>
        <w:spacing w:before="2"/>
        <w:rPr>
          <w:sz w:val="25"/>
        </w:rPr>
      </w:pPr>
    </w:p>
    <w:p>
      <w:pPr>
        <w:pStyle w:val="BodyText"/>
        <w:spacing w:line="249" w:lineRule="auto"/>
        <w:ind w:left="119" w:right="229"/>
      </w:pPr>
      <w:r>
        <w:rPr>
          <w:color w:val="231F20"/>
        </w:rPr>
        <w:t>(Note: Registration pursuant to paragraph (e) of this form is not permitted if the filing of the Form 8-A and, where applicable, the receipt by the Commission of certification from the national securities exchange listed on this form occurs more than five calendar days after the qualification of the Regulation A offering statement)</w:t>
      </w:r>
    </w:p>
    <w:p>
      <w:pPr>
        <w:pStyle w:val="BodyText"/>
        <w:spacing w:before="3"/>
        <w:rPr>
          <w:sz w:val="25"/>
        </w:rPr>
      </w:pPr>
    </w:p>
    <w:p>
      <w:pPr>
        <w:pStyle w:val="Heading1"/>
        <w:numPr>
          <w:ilvl w:val="0"/>
          <w:numId w:val="1"/>
        </w:numPr>
        <w:tabs>
          <w:tab w:pos="387" w:val="left" w:leader="none"/>
        </w:tabs>
        <w:spacing w:line="240" w:lineRule="auto" w:before="0" w:after="0"/>
        <w:ind w:left="386" w:right="0" w:hanging="267"/>
        <w:jc w:val="left"/>
      </w:pPr>
      <w:r>
        <w:rPr>
          <w:color w:val="231F20"/>
        </w:rPr>
        <w:t>Application of General Rules and</w:t>
      </w:r>
      <w:r>
        <w:rPr>
          <w:color w:val="231F20"/>
          <w:spacing w:val="-4"/>
        </w:rPr>
        <w:t> </w:t>
      </w:r>
      <w:r>
        <w:rPr>
          <w:color w:val="231F20"/>
        </w:rPr>
        <w:t>Regulations.</w:t>
      </w:r>
    </w:p>
    <w:p>
      <w:pPr>
        <w:pStyle w:val="BodyText"/>
        <w:spacing w:before="1"/>
        <w:rPr>
          <w:b/>
          <w:sz w:val="26"/>
        </w:rPr>
      </w:pPr>
    </w:p>
    <w:p>
      <w:pPr>
        <w:pStyle w:val="ListParagraph"/>
        <w:numPr>
          <w:ilvl w:val="0"/>
          <w:numId w:val="3"/>
        </w:numPr>
        <w:tabs>
          <w:tab w:pos="442" w:val="left" w:leader="none"/>
        </w:tabs>
        <w:spacing w:line="249" w:lineRule="auto" w:before="1" w:after="0"/>
        <w:ind w:left="120" w:right="178" w:firstLine="0"/>
        <w:jc w:val="left"/>
        <w:rPr>
          <w:sz w:val="24"/>
        </w:rPr>
      </w:pPr>
      <w:r>
        <w:rPr>
          <w:color w:val="231F20"/>
          <w:sz w:val="24"/>
        </w:rPr>
        <w:t>The General Rules and Regulations under the Act contain certain general requirements which are applicable to registration on any form. These general requirements should be carefully read and observed in the</w:t>
      </w:r>
      <w:r>
        <w:rPr>
          <w:color w:val="231F20"/>
          <w:spacing w:val="-11"/>
          <w:sz w:val="24"/>
        </w:rPr>
        <w:t> </w:t>
      </w:r>
      <w:r>
        <w:rPr>
          <w:color w:val="231F20"/>
          <w:sz w:val="24"/>
        </w:rPr>
        <w:t>preparation and filing of registration statements on this</w:t>
      </w:r>
      <w:r>
        <w:rPr>
          <w:color w:val="231F20"/>
          <w:spacing w:val="-4"/>
          <w:sz w:val="24"/>
        </w:rPr>
        <w:t> </w:t>
      </w:r>
      <w:r>
        <w:rPr>
          <w:color w:val="231F20"/>
          <w:sz w:val="24"/>
        </w:rPr>
        <w:t>form.</w:t>
      </w:r>
    </w:p>
    <w:p>
      <w:pPr>
        <w:pStyle w:val="ListParagraph"/>
        <w:numPr>
          <w:ilvl w:val="0"/>
          <w:numId w:val="3"/>
        </w:numPr>
        <w:tabs>
          <w:tab w:pos="460" w:val="left" w:leader="none"/>
        </w:tabs>
        <w:spacing w:line="249" w:lineRule="auto" w:before="2" w:after="0"/>
        <w:ind w:left="120" w:right="356" w:firstLine="0"/>
        <w:jc w:val="left"/>
        <w:rPr>
          <w:sz w:val="24"/>
        </w:rPr>
      </w:pPr>
      <w:r>
        <w:rPr>
          <w:color w:val="231F20"/>
          <w:sz w:val="24"/>
        </w:rPr>
        <w:t>Particular attention is directed to Regulation l2B which contains general requirements regarding matters such as the kind and size of paper to be used, legibility, information to be given whenever the title of</w:t>
      </w:r>
      <w:r>
        <w:rPr>
          <w:color w:val="231F20"/>
          <w:spacing w:val="-43"/>
          <w:sz w:val="24"/>
        </w:rPr>
        <w:t> </w:t>
      </w:r>
      <w:r>
        <w:rPr>
          <w:color w:val="231F20"/>
          <w:sz w:val="24"/>
        </w:rPr>
        <w:t>securities is required to be stated, incorporation by reference and the filing of the registration statement. The definitions contained in Rule 12b-2 should be especially</w:t>
      </w:r>
      <w:r>
        <w:rPr>
          <w:color w:val="231F20"/>
          <w:spacing w:val="-2"/>
          <w:sz w:val="24"/>
        </w:rPr>
        <w:t> </w:t>
      </w:r>
      <w:r>
        <w:rPr>
          <w:color w:val="231F20"/>
          <w:sz w:val="24"/>
        </w:rPr>
        <w:t>noted.</w:t>
      </w:r>
    </w:p>
    <w:p>
      <w:pPr>
        <w:pStyle w:val="BodyText"/>
        <w:spacing w:before="5"/>
        <w:rPr>
          <w:sz w:val="25"/>
        </w:rPr>
      </w:pPr>
    </w:p>
    <w:p>
      <w:pPr>
        <w:pStyle w:val="Heading1"/>
        <w:numPr>
          <w:ilvl w:val="0"/>
          <w:numId w:val="1"/>
        </w:numPr>
        <w:tabs>
          <w:tab w:pos="414" w:val="left" w:leader="none"/>
        </w:tabs>
        <w:spacing w:line="240" w:lineRule="auto" w:before="0" w:after="0"/>
        <w:ind w:left="413" w:right="0" w:hanging="294"/>
        <w:jc w:val="left"/>
      </w:pPr>
      <w:r>
        <w:rPr>
          <w:color w:val="231F20"/>
        </w:rPr>
        <w:t>Preparation of Registration</w:t>
      </w:r>
      <w:r>
        <w:rPr>
          <w:color w:val="231F20"/>
          <w:spacing w:val="-2"/>
        </w:rPr>
        <w:t> </w:t>
      </w:r>
      <w:r>
        <w:rPr>
          <w:color w:val="231F20"/>
        </w:rPr>
        <w:t>Statement.</w:t>
      </w:r>
    </w:p>
    <w:p>
      <w:pPr>
        <w:pStyle w:val="BodyText"/>
        <w:spacing w:before="1"/>
        <w:rPr>
          <w:b/>
          <w:sz w:val="26"/>
        </w:rPr>
      </w:pPr>
    </w:p>
    <w:p>
      <w:pPr>
        <w:pStyle w:val="BodyText"/>
        <w:spacing w:line="249" w:lineRule="auto"/>
        <w:ind w:left="120" w:right="229"/>
      </w:pPr>
      <w:r>
        <w:rPr>
          <w:color w:val="231F20"/>
        </w:rPr>
        <w:t>This form is not to be used as a blank form to be filled in, but only as a guide in the preparation of the registra- tion statement on paper meeting the requirements of Rule l2b-12. The registration statement shall contain the item numbers and captions, but the text of the items may be omitted. The answers to the items shall be prepared in the manner specified in Rule 12b-l3.</w:t>
      </w:r>
    </w:p>
    <w:p>
      <w:pPr>
        <w:pStyle w:val="BodyText"/>
        <w:spacing w:before="4"/>
        <w:rPr>
          <w:sz w:val="25"/>
        </w:rPr>
      </w:pPr>
    </w:p>
    <w:p>
      <w:pPr>
        <w:pStyle w:val="Heading1"/>
        <w:numPr>
          <w:ilvl w:val="0"/>
          <w:numId w:val="1"/>
        </w:numPr>
        <w:tabs>
          <w:tab w:pos="414" w:val="left" w:leader="none"/>
        </w:tabs>
        <w:spacing w:line="240" w:lineRule="auto" w:before="0" w:after="0"/>
        <w:ind w:left="413" w:right="0" w:hanging="294"/>
        <w:jc w:val="left"/>
      </w:pPr>
      <w:r>
        <w:rPr>
          <w:color w:val="231F20"/>
        </w:rPr>
        <w:t>Signature and Filing of Registration</w:t>
      </w:r>
      <w:r>
        <w:rPr>
          <w:color w:val="231F20"/>
          <w:spacing w:val="-3"/>
        </w:rPr>
        <w:t> </w:t>
      </w:r>
      <w:r>
        <w:rPr>
          <w:color w:val="231F20"/>
        </w:rPr>
        <w:t>Statement.</w:t>
      </w:r>
    </w:p>
    <w:p>
      <w:pPr>
        <w:pStyle w:val="BodyText"/>
        <w:spacing w:before="1"/>
        <w:rPr>
          <w:b/>
          <w:sz w:val="26"/>
        </w:rPr>
      </w:pPr>
    </w:p>
    <w:p>
      <w:pPr>
        <w:pStyle w:val="BodyText"/>
        <w:spacing w:line="249" w:lineRule="auto" w:before="1"/>
        <w:ind w:left="120" w:right="342"/>
      </w:pPr>
      <w:r>
        <w:rPr>
          <w:color w:val="231F20"/>
        </w:rPr>
        <w:t>Eight complete copies of the registration statement, including all papers and documents filed as a part thereof (other than exhibits) shall be filed with the Commission and at least one such copy shall be filed with each exchange on which the securities are to be registered. Exhibits shall be filed with the Commission and with any exchange in accordance with the Instructions as to Exhibits. At least one copy of the registration statement</w:t>
      </w:r>
    </w:p>
    <w:p>
      <w:pPr>
        <w:pStyle w:val="BodyText"/>
        <w:spacing w:before="3"/>
        <w:ind w:left="120"/>
      </w:pPr>
      <w:r>
        <w:rPr>
          <w:color w:val="231F20"/>
        </w:rPr>
        <w:t>filed with the Commission and one filed with each exchange shall be manually signed. Unsigned copies shall be</w:t>
      </w:r>
    </w:p>
    <w:p>
      <w:pPr>
        <w:pStyle w:val="BodyText"/>
        <w:spacing w:before="12"/>
        <w:ind w:left="120"/>
      </w:pPr>
      <w:r>
        <w:rPr>
          <w:color w:val="231F20"/>
        </w:rPr>
        <w:t>conformed.</w:t>
      </w:r>
    </w:p>
    <w:p>
      <w:pPr>
        <w:spacing w:after="0"/>
        <w:sectPr>
          <w:pgSz w:w="12240" w:h="15840"/>
          <w:pgMar w:header="0" w:footer="556" w:top="620" w:bottom="660" w:left="600" w:right="540"/>
        </w:sectPr>
      </w:pPr>
    </w:p>
    <w:p>
      <w:pPr>
        <w:pStyle w:val="BodyText"/>
        <w:spacing w:before="9"/>
        <w:rPr>
          <w:sz w:val="14"/>
        </w:rPr>
      </w:pPr>
    </w:p>
    <w:p>
      <w:pPr>
        <w:pStyle w:val="Heading1"/>
        <w:spacing w:before="90"/>
      </w:pPr>
      <w:r>
        <w:rPr/>
        <w:pict>
          <v:shape style="position:absolute;margin-left:452.5pt;margin-top:-8.767151pt;width:126.65pt;height:54.65pt;mso-position-horizontal-relative:page;mso-position-vertical-relative:paragraph;z-index:251675648" type="#_x0000_t202" filled="false" stroked="true" strokeweight=".5pt" strokecolor="#231f20">
            <v:textbox inset="0,0,0,0">
              <w:txbxContent>
                <w:p>
                  <w:pPr>
                    <w:spacing w:line="171" w:lineRule="exact" w:before="0"/>
                    <w:ind w:left="503" w:right="0" w:firstLine="0"/>
                    <w:jc w:val="left"/>
                    <w:rPr>
                      <w:rFonts w:ascii="Calibri"/>
                      <w:sz w:val="18"/>
                    </w:rPr>
                  </w:pPr>
                  <w:r>
                    <w:rPr>
                      <w:rFonts w:ascii="Calibri"/>
                      <w:color w:val="231F20"/>
                      <w:sz w:val="18"/>
                    </w:rPr>
                    <w:t>OMB APPROVAL</w:t>
                  </w:r>
                </w:p>
                <w:p>
                  <w:pPr>
                    <w:tabs>
                      <w:tab w:pos="1437" w:val="left" w:leader="none"/>
                    </w:tabs>
                    <w:spacing w:line="214" w:lineRule="exact" w:before="0"/>
                    <w:ind w:left="57" w:right="0" w:firstLine="0"/>
                    <w:jc w:val="left"/>
                    <w:rPr>
                      <w:rFonts w:ascii="Calibri"/>
                      <w:sz w:val="18"/>
                    </w:rPr>
                  </w:pPr>
                  <w:r>
                    <w:rPr>
                      <w:rFonts w:ascii="Calibri"/>
                      <w:color w:val="231F20"/>
                      <w:sz w:val="18"/>
                    </w:rPr>
                    <w:t>OMB</w:t>
                  </w:r>
                  <w:r>
                    <w:rPr>
                      <w:rFonts w:ascii="Calibri"/>
                      <w:color w:val="231F20"/>
                      <w:spacing w:val="-3"/>
                      <w:sz w:val="18"/>
                    </w:rPr>
                    <w:t> </w:t>
                  </w:r>
                  <w:r>
                    <w:rPr>
                      <w:rFonts w:ascii="Calibri"/>
                      <w:color w:val="231F20"/>
                      <w:sz w:val="18"/>
                    </w:rPr>
                    <w:t>Number:</w:t>
                    <w:tab/>
                    <w:t>3235-0056</w:t>
                  </w:r>
                </w:p>
                <w:p>
                  <w:pPr>
                    <w:tabs>
                      <w:tab w:pos="1290" w:val="left" w:leader="none"/>
                      <w:tab w:pos="2082" w:val="left" w:leader="dot"/>
                    </w:tabs>
                    <w:spacing w:line="228" w:lineRule="auto" w:before="4"/>
                    <w:ind w:left="57" w:right="216" w:firstLine="0"/>
                    <w:jc w:val="left"/>
                    <w:rPr>
                      <w:rFonts w:ascii="Calibri"/>
                      <w:sz w:val="18"/>
                    </w:rPr>
                  </w:pPr>
                  <w:r>
                    <w:rPr>
                      <w:rFonts w:ascii="Calibri"/>
                      <w:color w:val="231F20"/>
                      <w:position w:val="2"/>
                      <w:sz w:val="18"/>
                    </w:rPr>
                    <w:t>Expires:</w:t>
                    <w:tab/>
                  </w:r>
                  <w:r>
                    <w:rPr>
                      <w:rFonts w:ascii="Calibri"/>
                      <w:color w:val="231F20"/>
                      <w:sz w:val="18"/>
                    </w:rPr>
                    <w:t>July 31, 2025 Estimated average burden hours</w:t>
                  </w:r>
                  <w:r>
                    <w:rPr>
                      <w:rFonts w:ascii="Calibri"/>
                      <w:color w:val="231F20"/>
                      <w:spacing w:val="9"/>
                      <w:sz w:val="18"/>
                    </w:rPr>
                    <w:t> </w:t>
                  </w:r>
                  <w:r>
                    <w:rPr>
                      <w:rFonts w:ascii="Calibri"/>
                      <w:color w:val="231F20"/>
                      <w:sz w:val="18"/>
                    </w:rPr>
                    <w:t>per</w:t>
                  </w:r>
                  <w:r>
                    <w:rPr>
                      <w:rFonts w:ascii="Calibri"/>
                      <w:color w:val="231F20"/>
                      <w:spacing w:val="9"/>
                      <w:sz w:val="18"/>
                    </w:rPr>
                    <w:t> </w:t>
                  </w:r>
                  <w:r>
                    <w:rPr>
                      <w:rFonts w:ascii="Calibri"/>
                      <w:color w:val="231F20"/>
                      <w:sz w:val="18"/>
                    </w:rPr>
                    <w:t>response</w:t>
                    <w:tab/>
                  </w:r>
                  <w:r>
                    <w:rPr>
                      <w:rFonts w:ascii="Calibri"/>
                      <w:color w:val="231F20"/>
                      <w:spacing w:val="-6"/>
                      <w:sz w:val="18"/>
                    </w:rPr>
                    <w:t>3.0</w:t>
                  </w:r>
                </w:p>
              </w:txbxContent>
            </v:textbox>
            <v:stroke dashstyle="solid"/>
            <w10:wrap type="none"/>
          </v:shape>
        </w:pict>
      </w:r>
      <w:r>
        <w:rPr>
          <w:color w:val="231F20"/>
        </w:rPr>
        <w:t>UNITED STATES</w:t>
      </w:r>
    </w:p>
    <w:p>
      <w:pPr>
        <w:spacing w:before="12"/>
        <w:ind w:left="1986" w:right="2045" w:firstLine="0"/>
        <w:jc w:val="center"/>
        <w:rPr>
          <w:b/>
          <w:sz w:val="24"/>
        </w:rPr>
      </w:pPr>
      <w:r>
        <w:rPr>
          <w:b/>
          <w:color w:val="231F20"/>
          <w:sz w:val="24"/>
        </w:rPr>
        <w:t>SECURITIES AND EXCHANGE COMMISSION</w:t>
      </w:r>
    </w:p>
    <w:p>
      <w:pPr>
        <w:spacing w:line="501" w:lineRule="auto" w:before="12"/>
        <w:ind w:left="4244" w:right="4303" w:firstLine="0"/>
        <w:jc w:val="center"/>
        <w:rPr>
          <w:b/>
          <w:sz w:val="24"/>
        </w:rPr>
      </w:pPr>
      <w:r>
        <w:rPr>
          <w:b/>
          <w:color w:val="231F20"/>
          <w:sz w:val="24"/>
        </w:rPr>
        <w:t>Washington, D.C. 20549 FORM 8-A</w:t>
      </w:r>
    </w:p>
    <w:p>
      <w:pPr>
        <w:spacing w:line="249" w:lineRule="auto" w:before="0"/>
        <w:ind w:left="1985" w:right="2045" w:firstLine="0"/>
        <w:jc w:val="center"/>
        <w:rPr>
          <w:b/>
          <w:sz w:val="24"/>
        </w:rPr>
      </w:pPr>
      <w:r>
        <w:rPr>
          <w:b/>
          <w:color w:val="231F20"/>
          <w:sz w:val="24"/>
        </w:rPr>
        <w:t>FOR REGISTRATION OF CERTAIN CLASSES OF SECURITIES PURSUANT TO SECTION 12(b) OR (g) OF THE</w:t>
      </w:r>
    </w:p>
    <w:p>
      <w:pPr>
        <w:spacing w:before="0"/>
        <w:ind w:left="1986" w:right="2045" w:firstLine="0"/>
        <w:jc w:val="center"/>
        <w:rPr>
          <w:b/>
          <w:sz w:val="24"/>
        </w:rPr>
      </w:pPr>
      <w:r>
        <w:rPr>
          <w:b/>
          <w:color w:val="231F20"/>
          <w:sz w:val="24"/>
        </w:rPr>
        <w:t>SECURITIES EXCHANGE ACT OF 1934</w:t>
      </w:r>
    </w:p>
    <w:p>
      <w:pPr>
        <w:pStyle w:val="BodyText"/>
        <w:rPr>
          <w:b/>
          <w:sz w:val="20"/>
        </w:rPr>
      </w:pPr>
    </w:p>
    <w:p>
      <w:pPr>
        <w:pStyle w:val="BodyText"/>
        <w:spacing w:before="10"/>
        <w:rPr>
          <w:b/>
          <w:sz w:val="25"/>
        </w:rPr>
      </w:pPr>
      <w:r>
        <w:rPr/>
        <w:pict>
          <v:shape style="position:absolute;margin-left:180pt;margin-top:17.096788pt;width:246pt;height:.1pt;mso-position-horizontal-relative:page;mso-position-vertical-relative:paragraph;z-index:-251657216;mso-wrap-distance-left:0;mso-wrap-distance-right:0" coordorigin="3600,342" coordsize="4920,0" path="m3600,342l8520,342e" filled="false" stroked="true" strokeweight=".48pt" strokecolor="#221e1f">
            <v:path arrowok="t"/>
            <v:stroke dashstyle="solid"/>
            <w10:wrap type="topAndBottom"/>
          </v:shape>
        </w:pict>
      </w:r>
    </w:p>
    <w:p>
      <w:pPr>
        <w:pStyle w:val="BodyText"/>
        <w:spacing w:line="259" w:lineRule="exact"/>
        <w:ind w:left="1988" w:right="2045"/>
        <w:jc w:val="center"/>
      </w:pPr>
      <w:r>
        <w:rPr>
          <w:color w:val="231F20"/>
        </w:rPr>
        <w:t>(Exact name of registrant as specified in its charter)</w:t>
      </w:r>
    </w:p>
    <w:p>
      <w:pPr>
        <w:pStyle w:val="BodyText"/>
        <w:rPr>
          <w:sz w:val="20"/>
        </w:rPr>
      </w:pPr>
    </w:p>
    <w:p>
      <w:pPr>
        <w:pStyle w:val="BodyText"/>
        <w:spacing w:before="9"/>
        <w:rPr>
          <w:sz w:val="25"/>
        </w:rPr>
      </w:pPr>
      <w:r>
        <w:rPr/>
        <w:pict>
          <v:shape style="position:absolute;margin-left:72pt;margin-top:17.057261pt;width:180pt;height:.1pt;mso-position-horizontal-relative:page;mso-position-vertical-relative:paragraph;z-index:-251656192;mso-wrap-distance-left:0;mso-wrap-distance-right:0" coordorigin="1440,341" coordsize="3600,0" path="m1440,341l5040,341e" filled="false" stroked="true" strokeweight=".48pt" strokecolor="#221e1f">
            <v:path arrowok="t"/>
            <v:stroke dashstyle="solid"/>
            <w10:wrap type="topAndBottom"/>
          </v:shape>
        </w:pict>
      </w:r>
      <w:r>
        <w:rPr/>
        <w:pict>
          <v:shape style="position:absolute;margin-left:381pt;margin-top:17.057261pt;width:132pt;height:.1pt;mso-position-horizontal-relative:page;mso-position-vertical-relative:paragraph;z-index:-251655168;mso-wrap-distance-left:0;mso-wrap-distance-right:0" coordorigin="7620,341" coordsize="2640,0" path="m7620,341l10260,341e" filled="false" stroked="true" strokeweight=".48pt" strokecolor="#221e1f">
            <v:path arrowok="t"/>
            <v:stroke dashstyle="solid"/>
            <w10:wrap type="topAndBottom"/>
          </v:shape>
        </w:pict>
      </w:r>
    </w:p>
    <w:p>
      <w:pPr>
        <w:pStyle w:val="BodyText"/>
        <w:tabs>
          <w:tab w:pos="7820" w:val="left" w:leader="none"/>
        </w:tabs>
        <w:spacing w:line="259" w:lineRule="exact"/>
        <w:ind w:right="1517"/>
        <w:jc w:val="right"/>
      </w:pPr>
      <w:r>
        <w:rPr>
          <w:color w:val="231F20"/>
        </w:rPr>
        <w:t>(State or other jurisdiction of incorporation</w:t>
      </w:r>
      <w:r>
        <w:rPr>
          <w:color w:val="231F20"/>
          <w:spacing w:val="-4"/>
        </w:rPr>
        <w:t> </w:t>
      </w:r>
      <w:r>
        <w:rPr>
          <w:color w:val="231F20"/>
        </w:rPr>
        <w:t>or organization)</w:t>
        <w:tab/>
        <w:t>(I.R.S. Employer</w:t>
      </w:r>
    </w:p>
    <w:p>
      <w:pPr>
        <w:pStyle w:val="BodyText"/>
        <w:spacing w:before="12"/>
        <w:ind w:right="1451"/>
        <w:jc w:val="right"/>
      </w:pPr>
      <w:r>
        <w:rPr>
          <w:color w:val="231F20"/>
        </w:rPr>
        <w:t>Identification No.)</w:t>
      </w:r>
    </w:p>
    <w:p>
      <w:pPr>
        <w:pStyle w:val="BodyText"/>
        <w:rPr>
          <w:sz w:val="20"/>
        </w:rPr>
      </w:pPr>
    </w:p>
    <w:p>
      <w:pPr>
        <w:pStyle w:val="BodyText"/>
        <w:spacing w:before="9"/>
        <w:rPr>
          <w:sz w:val="25"/>
        </w:rPr>
      </w:pPr>
      <w:r>
        <w:rPr/>
        <w:pict>
          <v:shape style="position:absolute;margin-left:36pt;margin-top:17.058428pt;width:186pt;height:.1pt;mso-position-horizontal-relative:page;mso-position-vertical-relative:paragraph;z-index:-251654144;mso-wrap-distance-left:0;mso-wrap-distance-right:0" coordorigin="720,341" coordsize="3720,0" path="m720,341l4440,341e" filled="false" stroked="true" strokeweight=".48pt" strokecolor="#221e1f">
            <v:path arrowok="t"/>
            <v:stroke dashstyle="solid"/>
            <w10:wrap type="topAndBottom"/>
          </v:shape>
        </w:pict>
      </w:r>
      <w:r>
        <w:rPr/>
        <w:pict>
          <v:shape style="position:absolute;margin-left:396pt;margin-top:17.058428pt;width:120pt;height:.1pt;mso-position-horizontal-relative:page;mso-position-vertical-relative:paragraph;z-index:-251653120;mso-wrap-distance-left:0;mso-wrap-distance-right:0" coordorigin="7920,341" coordsize="2400,0" path="m7920,341l10320,341e" filled="false" stroked="true" strokeweight=".48pt" strokecolor="#221e1f">
            <v:path arrowok="t"/>
            <v:stroke dashstyle="solid"/>
            <w10:wrap type="topAndBottom"/>
          </v:shape>
        </w:pict>
      </w:r>
    </w:p>
    <w:p>
      <w:pPr>
        <w:pStyle w:val="BodyText"/>
        <w:tabs>
          <w:tab w:pos="7509" w:val="left" w:leader="none"/>
        </w:tabs>
        <w:spacing w:line="259" w:lineRule="exact"/>
        <w:ind w:left="120"/>
      </w:pPr>
      <w:r>
        <w:rPr>
          <w:color w:val="231F20"/>
        </w:rPr>
        <w:t>(Address of principal</w:t>
      </w:r>
      <w:r>
        <w:rPr>
          <w:color w:val="231F20"/>
          <w:spacing w:val="-12"/>
        </w:rPr>
        <w:t> </w:t>
      </w:r>
      <w:r>
        <w:rPr>
          <w:color w:val="231F20"/>
        </w:rPr>
        <w:t>executive</w:t>
      </w:r>
      <w:r>
        <w:rPr>
          <w:color w:val="231F20"/>
          <w:spacing w:val="-3"/>
        </w:rPr>
        <w:t> </w:t>
      </w:r>
      <w:r>
        <w:rPr>
          <w:color w:val="231F20"/>
        </w:rPr>
        <w:t>offices)</w:t>
        <w:tab/>
        <w:t>(Zip Code)</w:t>
      </w:r>
    </w:p>
    <w:p>
      <w:pPr>
        <w:pStyle w:val="BodyText"/>
        <w:spacing w:before="1"/>
        <w:rPr>
          <w:sz w:val="26"/>
        </w:rPr>
      </w:pPr>
    </w:p>
    <w:p>
      <w:pPr>
        <w:pStyle w:val="BodyText"/>
        <w:ind w:left="120"/>
      </w:pPr>
      <w:r>
        <w:rPr>
          <w:color w:val="231F20"/>
        </w:rPr>
        <w:t>Securities to be registered pursuant to Section 12(b) of the Act:</w:t>
      </w:r>
    </w:p>
    <w:p>
      <w:pPr>
        <w:pStyle w:val="BodyText"/>
        <w:spacing w:before="1"/>
        <w:rPr>
          <w:sz w:val="26"/>
        </w:rPr>
      </w:pPr>
    </w:p>
    <w:p>
      <w:pPr>
        <w:pStyle w:val="BodyText"/>
        <w:tabs>
          <w:tab w:pos="6599" w:val="left" w:leader="none"/>
        </w:tabs>
        <w:ind w:left="120"/>
      </w:pPr>
      <w:r>
        <w:rPr>
          <w:color w:val="231F20"/>
        </w:rPr>
        <w:t>Title of</w:t>
      </w:r>
      <w:r>
        <w:rPr>
          <w:color w:val="231F20"/>
          <w:spacing w:val="-4"/>
        </w:rPr>
        <w:t> </w:t>
      </w:r>
      <w:r>
        <w:rPr>
          <w:color w:val="231F20"/>
        </w:rPr>
        <w:t>each</w:t>
      </w:r>
      <w:r>
        <w:rPr>
          <w:color w:val="231F20"/>
          <w:spacing w:val="-2"/>
        </w:rPr>
        <w:t> </w:t>
      </w:r>
      <w:r>
        <w:rPr>
          <w:color w:val="231F20"/>
        </w:rPr>
        <w:t>class</w:t>
        <w:tab/>
        <w:t>Name of each exchange on</w:t>
      </w:r>
      <w:r>
        <w:rPr>
          <w:color w:val="231F20"/>
          <w:spacing w:val="-2"/>
        </w:rPr>
        <w:t> </w:t>
      </w:r>
      <w:r>
        <w:rPr>
          <w:color w:val="231F20"/>
        </w:rPr>
        <w:t>which</w:t>
      </w:r>
    </w:p>
    <w:p>
      <w:pPr>
        <w:pStyle w:val="BodyText"/>
        <w:tabs>
          <w:tab w:pos="6599" w:val="left" w:leader="none"/>
        </w:tabs>
        <w:spacing w:before="12"/>
        <w:ind w:left="120"/>
      </w:pPr>
      <w:r>
        <w:rPr>
          <w:color w:val="231F20"/>
        </w:rPr>
        <w:t>to be</w:t>
      </w:r>
      <w:r>
        <w:rPr>
          <w:color w:val="231F20"/>
          <w:spacing w:val="-1"/>
        </w:rPr>
        <w:t> </w:t>
      </w:r>
      <w:r>
        <w:rPr>
          <w:color w:val="231F20"/>
        </w:rPr>
        <w:t>so</w:t>
      </w:r>
      <w:r>
        <w:rPr>
          <w:color w:val="231F20"/>
          <w:spacing w:val="-1"/>
        </w:rPr>
        <w:t> </w:t>
      </w:r>
      <w:r>
        <w:rPr>
          <w:color w:val="231F20"/>
        </w:rPr>
        <w:t>registered</w:t>
        <w:tab/>
        <w:t>each class is to be registered</w:t>
      </w:r>
    </w:p>
    <w:p>
      <w:pPr>
        <w:pStyle w:val="BodyText"/>
        <w:spacing w:before="9"/>
        <w:rPr>
          <w:sz w:val="20"/>
        </w:rPr>
      </w:pPr>
      <w:r>
        <w:rPr/>
        <w:pict>
          <v:shape style="position:absolute;margin-left:36pt;margin-top:14.162376pt;width:144pt;height:.1pt;mso-position-horizontal-relative:page;mso-position-vertical-relative:paragraph;z-index:-251652096;mso-wrap-distance-left:0;mso-wrap-distance-right:0" coordorigin="720,283" coordsize="2880,0" path="m720,283l3600,283e" filled="false" stroked="true" strokeweight=".48pt" strokecolor="#221e1f">
            <v:path arrowok="t"/>
            <v:stroke dashstyle="solid"/>
            <w10:wrap type="topAndBottom"/>
          </v:shape>
        </w:pict>
      </w:r>
      <w:r>
        <w:rPr/>
        <w:pict>
          <v:shape style="position:absolute;margin-left:360pt;margin-top:14.162376pt;width:156pt;height:.1pt;mso-position-horizontal-relative:page;mso-position-vertical-relative:paragraph;z-index:-251651072;mso-wrap-distance-left:0;mso-wrap-distance-right:0" coordorigin="7200,283" coordsize="3120,0" path="m7200,283l10320,283e" filled="false" stroked="true" strokeweight=".48pt" strokecolor="#221e1f">
            <v:path arrowok="t"/>
            <v:stroke dashstyle="solid"/>
            <w10:wrap type="topAndBottom"/>
          </v:shape>
        </w:pict>
      </w:r>
      <w:r>
        <w:rPr/>
        <w:pict>
          <v:shape style="position:absolute;margin-left:36pt;margin-top:28.56237pt;width:144pt;height:.1pt;mso-position-horizontal-relative:page;mso-position-vertical-relative:paragraph;z-index:-251650048;mso-wrap-distance-left:0;mso-wrap-distance-right:0" coordorigin="720,571" coordsize="2880,0" path="m720,571l3600,571e" filled="false" stroked="true" strokeweight=".48pt" strokecolor="#221e1f">
            <v:path arrowok="t"/>
            <v:stroke dashstyle="solid"/>
            <w10:wrap type="topAndBottom"/>
          </v:shape>
        </w:pict>
      </w:r>
      <w:r>
        <w:rPr/>
        <w:pict>
          <v:shape style="position:absolute;margin-left:360pt;margin-top:28.56237pt;width:156pt;height:.1pt;mso-position-horizontal-relative:page;mso-position-vertical-relative:paragraph;z-index:-251649024;mso-wrap-distance-left:0;mso-wrap-distance-right:0" coordorigin="7200,571" coordsize="3120,0" path="m7200,571l10320,571e" filled="false" stroked="true" strokeweight=".48pt" strokecolor="#221e1f">
            <v:path arrowok="t"/>
            <v:stroke dashstyle="solid"/>
            <w10:wrap type="topAndBottom"/>
          </v:shape>
        </w:pict>
      </w:r>
      <w:r>
        <w:rPr/>
        <w:pict>
          <v:shape style="position:absolute;margin-left:36pt;margin-top:42.962364pt;width:144pt;height:.1pt;mso-position-horizontal-relative:page;mso-position-vertical-relative:paragraph;z-index:-251648000;mso-wrap-distance-left:0;mso-wrap-distance-right:0" coordorigin="720,859" coordsize="2880,0" path="m720,859l3600,859e" filled="false" stroked="true" strokeweight=".48pt" strokecolor="#221e1f">
            <v:path arrowok="t"/>
            <v:stroke dashstyle="solid"/>
            <w10:wrap type="topAndBottom"/>
          </v:shape>
        </w:pict>
      </w:r>
      <w:r>
        <w:rPr/>
        <w:pict>
          <v:shape style="position:absolute;margin-left:360pt;margin-top:42.962364pt;width:156pt;height:.1pt;mso-position-horizontal-relative:page;mso-position-vertical-relative:paragraph;z-index:-251646976;mso-wrap-distance-left:0;mso-wrap-distance-right:0" coordorigin="7200,859" coordsize="3120,0" path="m7200,859l10320,859e" filled="false" stroked="true" strokeweight=".48pt" strokecolor="#221e1f">
            <v:path arrowok="t"/>
            <v:stroke dashstyle="solid"/>
            <w10:wrap type="topAndBottom"/>
          </v:shape>
        </w:pict>
      </w:r>
    </w:p>
    <w:p>
      <w:pPr>
        <w:pStyle w:val="BodyText"/>
        <w:spacing w:before="3"/>
        <w:rPr>
          <w:sz w:val="18"/>
        </w:rPr>
      </w:pPr>
    </w:p>
    <w:p>
      <w:pPr>
        <w:pStyle w:val="BodyText"/>
        <w:spacing w:before="3"/>
        <w:rPr>
          <w:sz w:val="18"/>
        </w:rPr>
      </w:pPr>
    </w:p>
    <w:p>
      <w:pPr>
        <w:pStyle w:val="BodyText"/>
        <w:rPr>
          <w:sz w:val="20"/>
        </w:rPr>
      </w:pPr>
    </w:p>
    <w:p>
      <w:pPr>
        <w:pStyle w:val="BodyText"/>
        <w:spacing w:before="9"/>
        <w:rPr>
          <w:sz w:val="20"/>
        </w:rPr>
      </w:pPr>
    </w:p>
    <w:p>
      <w:pPr>
        <w:pStyle w:val="BodyText"/>
        <w:spacing w:before="90"/>
        <w:ind w:left="120"/>
      </w:pPr>
      <w:r>
        <w:rPr>
          <w:color w:val="231F20"/>
        </w:rPr>
        <w:t>If this form relates to the registration of a class of securities pursuant to Section 12(b) of the Exchange Act and</w:t>
      </w:r>
    </w:p>
    <w:p>
      <w:pPr>
        <w:pStyle w:val="BodyText"/>
        <w:spacing w:before="12"/>
        <w:ind w:left="120"/>
      </w:pPr>
      <w:r>
        <w:rPr/>
        <w:pict>
          <v:rect style="position:absolute;margin-left:430.924988pt;margin-top:4.722818pt;width:11.24pt;height:8.66pt;mso-position-horizontal-relative:page;mso-position-vertical-relative:paragraph;z-index:251672576" filled="false" stroked="true" strokeweight="1.0pt" strokecolor="#231f20">
            <v:stroke dashstyle="solid"/>
            <w10:wrap type="none"/>
          </v:rect>
        </w:pict>
      </w:r>
      <w:r>
        <w:rPr>
          <w:color w:val="231F20"/>
        </w:rPr>
        <w:t>is effective pursuant to General Instruction A.(c) or (e), check the following box.</w:t>
      </w:r>
    </w:p>
    <w:p>
      <w:pPr>
        <w:pStyle w:val="BodyText"/>
        <w:spacing w:before="1"/>
        <w:rPr>
          <w:sz w:val="26"/>
        </w:rPr>
      </w:pPr>
    </w:p>
    <w:p>
      <w:pPr>
        <w:pStyle w:val="BodyText"/>
        <w:ind w:left="120"/>
      </w:pPr>
      <w:r>
        <w:rPr>
          <w:color w:val="231F20"/>
        </w:rPr>
        <w:t>If this form relates to the registration of a class of securities pursuant to Section 12(g) of the Exchange Act and</w:t>
      </w:r>
    </w:p>
    <w:p>
      <w:pPr>
        <w:pStyle w:val="BodyText"/>
        <w:spacing w:before="12"/>
        <w:ind w:left="120"/>
      </w:pPr>
      <w:r>
        <w:rPr/>
        <w:pict>
          <v:rect style="position:absolute;margin-left:430.778992pt;margin-top:5.052822pt;width:11.24pt;height:8.66pt;mso-position-horizontal-relative:page;mso-position-vertical-relative:paragraph;z-index:251674624" filled="false" stroked="true" strokeweight="1pt" strokecolor="#231f20">
            <v:stroke dashstyle="solid"/>
            <w10:wrap type="none"/>
          </v:rect>
        </w:pict>
      </w:r>
      <w:r>
        <w:rPr>
          <w:color w:val="231F20"/>
        </w:rPr>
        <w:t>is effective pursuant to General Instruction A.(d) or (e), check the following box.</w:t>
      </w:r>
    </w:p>
    <w:p>
      <w:pPr>
        <w:pStyle w:val="BodyText"/>
        <w:spacing w:before="1"/>
        <w:rPr>
          <w:sz w:val="26"/>
        </w:rPr>
      </w:pPr>
    </w:p>
    <w:p>
      <w:pPr>
        <w:pStyle w:val="BodyText"/>
        <w:ind w:left="120"/>
      </w:pPr>
      <w:r>
        <w:rPr>
          <w:color w:val="231F20"/>
        </w:rPr>
        <w:t>If this form relates to the registration of a class of securities concurrently with a Regulation A offering, check</w:t>
      </w:r>
    </w:p>
    <w:p>
      <w:pPr>
        <w:pStyle w:val="BodyText"/>
        <w:spacing w:before="12"/>
        <w:ind w:left="120"/>
      </w:pPr>
      <w:r>
        <w:rPr/>
        <w:pict>
          <v:rect style="position:absolute;margin-left:130.779007pt;margin-top:3.852825pt;width:11.24pt;height:8.66pt;mso-position-horizontal-relative:page;mso-position-vertical-relative:paragraph;z-index:251673600" filled="false" stroked="true" strokeweight="1pt" strokecolor="#231f20">
            <v:stroke dashstyle="solid"/>
            <w10:wrap type="none"/>
          </v:rect>
        </w:pict>
      </w:r>
      <w:r>
        <w:rPr>
          <w:color w:val="231F20"/>
        </w:rPr>
        <w:t>the following box.</w:t>
      </w:r>
    </w:p>
    <w:p>
      <w:pPr>
        <w:pStyle w:val="BodyText"/>
        <w:spacing w:before="1"/>
        <w:rPr>
          <w:sz w:val="26"/>
        </w:rPr>
      </w:pPr>
    </w:p>
    <w:p>
      <w:pPr>
        <w:pStyle w:val="BodyText"/>
        <w:ind w:left="120"/>
      </w:pPr>
      <w:r>
        <w:rPr>
          <w:color w:val="231F20"/>
        </w:rPr>
        <w:t>Securities Act registration statement or Regulation A offering statement file number to which this form relates:</w:t>
      </w:r>
    </w:p>
    <w:p>
      <w:pPr>
        <w:pStyle w:val="BodyText"/>
        <w:tabs>
          <w:tab w:pos="2759" w:val="left" w:leader="none"/>
        </w:tabs>
        <w:spacing w:before="12"/>
        <w:ind w:left="120"/>
      </w:pPr>
      <w:r>
        <w:rPr>
          <w:color w:val="231F20"/>
          <w:u w:val="single" w:color="221E1F"/>
        </w:rPr>
        <w:t> </w:t>
        <w:tab/>
      </w:r>
      <w:r>
        <w:rPr>
          <w:color w:val="231F20"/>
        </w:rPr>
        <w:t>(if applicable)</w:t>
      </w:r>
    </w:p>
    <w:p>
      <w:pPr>
        <w:pStyle w:val="BodyText"/>
        <w:spacing w:before="1"/>
        <w:rPr>
          <w:sz w:val="26"/>
        </w:rPr>
      </w:pPr>
    </w:p>
    <w:p>
      <w:pPr>
        <w:pStyle w:val="BodyText"/>
        <w:ind w:left="120"/>
      </w:pPr>
      <w:r>
        <w:rPr>
          <w:color w:val="231F20"/>
        </w:rPr>
        <w:t>Securities to be registered pursuant to Section 12(g) of the</w:t>
      </w:r>
      <w:r>
        <w:rPr>
          <w:color w:val="231F20"/>
          <w:spacing w:val="-35"/>
        </w:rPr>
        <w:t> </w:t>
      </w:r>
      <w:r>
        <w:rPr>
          <w:color w:val="231F20"/>
        </w:rPr>
        <w:t>Act:</w:t>
      </w:r>
    </w:p>
    <w:p>
      <w:pPr>
        <w:pStyle w:val="BodyText"/>
        <w:rPr>
          <w:sz w:val="20"/>
        </w:rPr>
      </w:pPr>
    </w:p>
    <w:p>
      <w:pPr>
        <w:pStyle w:val="BodyText"/>
        <w:spacing w:before="9"/>
        <w:rPr>
          <w:sz w:val="25"/>
        </w:rPr>
      </w:pPr>
      <w:r>
        <w:rPr/>
        <w:pict>
          <v:shape style="position:absolute;margin-left:72pt;margin-top:17.068558pt;width:438pt;height:.1pt;mso-position-horizontal-relative:page;mso-position-vertical-relative:paragraph;z-index:-251645952;mso-wrap-distance-left:0;mso-wrap-distance-right:0" coordorigin="1440,341" coordsize="8760,0" path="m1440,341l10200,341e" filled="false" stroked="true" strokeweight=".48pt" strokecolor="#221e1f">
            <v:path arrowok="t"/>
            <v:stroke dashstyle="solid"/>
            <w10:wrap type="topAndBottom"/>
          </v:shape>
        </w:pict>
      </w:r>
    </w:p>
    <w:p>
      <w:pPr>
        <w:pStyle w:val="BodyText"/>
        <w:spacing w:line="259" w:lineRule="exact"/>
        <w:ind w:left="1819" w:right="2045"/>
        <w:jc w:val="center"/>
      </w:pPr>
      <w:r>
        <w:rPr>
          <w:color w:val="231F20"/>
        </w:rPr>
        <w:t>(Title of</w:t>
      </w:r>
      <w:r>
        <w:rPr>
          <w:color w:val="231F20"/>
          <w:spacing w:val="-9"/>
        </w:rPr>
        <w:t> </w:t>
      </w:r>
      <w:r>
        <w:rPr>
          <w:color w:val="231F20"/>
        </w:rPr>
        <w:t>class)</w:t>
      </w:r>
    </w:p>
    <w:p>
      <w:pPr>
        <w:pStyle w:val="BodyText"/>
        <w:spacing w:before="9"/>
        <w:rPr>
          <w:sz w:val="20"/>
        </w:rPr>
      </w:pPr>
      <w:r>
        <w:rPr/>
        <w:pict>
          <v:shape style="position:absolute;margin-left:72pt;margin-top:14.156299pt;width:468pt;height:.1pt;mso-position-horizontal-relative:page;mso-position-vertical-relative:paragraph;z-index:-251644928;mso-wrap-distance-left:0;mso-wrap-distance-right:0" coordorigin="1440,283" coordsize="9360,0" path="m1440,283l10800,283e" filled="false" stroked="true" strokeweight=".48pt" strokecolor="#221e1f">
            <v:path arrowok="t"/>
            <v:stroke dashstyle="solid"/>
            <w10:wrap type="topAndBottom"/>
          </v:shape>
        </w:pict>
      </w:r>
    </w:p>
    <w:p>
      <w:pPr>
        <w:pStyle w:val="BodyText"/>
        <w:spacing w:line="259" w:lineRule="exact"/>
        <w:ind w:left="1988" w:right="2045"/>
        <w:jc w:val="center"/>
      </w:pPr>
      <w:r>
        <w:rPr>
          <w:color w:val="231F20"/>
        </w:rPr>
        <w:t>(Title of class)</w:t>
      </w:r>
    </w:p>
    <w:p>
      <w:pPr>
        <w:spacing w:after="0" w:line="259" w:lineRule="exact"/>
        <w:jc w:val="center"/>
        <w:sectPr>
          <w:pgSz w:w="12240" w:h="15840"/>
          <w:pgMar w:header="0" w:footer="466" w:top="740" w:bottom="800" w:left="600" w:right="540"/>
        </w:sectPr>
      </w:pPr>
    </w:p>
    <w:p>
      <w:pPr>
        <w:pStyle w:val="Heading1"/>
        <w:spacing w:before="78"/>
        <w:ind w:left="1991"/>
      </w:pPr>
      <w:r>
        <w:rPr>
          <w:color w:val="231F20"/>
        </w:rPr>
        <w:t>INFORMATION REQUIRED IN REGISTRATION STATEMENT</w:t>
      </w:r>
    </w:p>
    <w:p>
      <w:pPr>
        <w:pStyle w:val="BodyText"/>
        <w:spacing w:before="1"/>
        <w:rPr>
          <w:b/>
          <w:sz w:val="26"/>
        </w:rPr>
      </w:pPr>
    </w:p>
    <w:p>
      <w:pPr>
        <w:spacing w:before="0"/>
        <w:ind w:left="120" w:right="0" w:firstLine="0"/>
        <w:jc w:val="left"/>
        <w:rPr>
          <w:b/>
          <w:sz w:val="24"/>
        </w:rPr>
      </w:pPr>
      <w:r>
        <w:rPr>
          <w:b/>
          <w:color w:val="231F20"/>
          <w:sz w:val="24"/>
        </w:rPr>
        <w:t>Item 1. Description of Registrant’s Securities to be Registered.</w:t>
      </w:r>
    </w:p>
    <w:p>
      <w:pPr>
        <w:pStyle w:val="BodyText"/>
        <w:spacing w:before="1"/>
        <w:rPr>
          <w:b/>
          <w:sz w:val="26"/>
        </w:rPr>
      </w:pPr>
    </w:p>
    <w:p>
      <w:pPr>
        <w:pStyle w:val="BodyText"/>
        <w:ind w:left="120"/>
      </w:pPr>
      <w:r>
        <w:rPr>
          <w:color w:val="231F20"/>
        </w:rPr>
        <w:t>Furnish the information required by Item 202 of Regulation S-K (§229.202 of this chapter), as applicable.</w:t>
      </w:r>
    </w:p>
    <w:p>
      <w:pPr>
        <w:pStyle w:val="BodyText"/>
        <w:spacing w:before="1"/>
        <w:rPr>
          <w:sz w:val="26"/>
        </w:rPr>
      </w:pPr>
    </w:p>
    <w:p>
      <w:pPr>
        <w:pStyle w:val="BodyText"/>
        <w:spacing w:line="249" w:lineRule="auto"/>
        <w:ind w:left="120" w:right="229"/>
      </w:pPr>
      <w:r>
        <w:rPr>
          <w:i/>
          <w:color w:val="231F20"/>
        </w:rPr>
        <w:t>Instruction. </w:t>
      </w:r>
      <w:r>
        <w:rPr>
          <w:color w:val="231F20"/>
        </w:rPr>
        <w:t>If a description of the securities comparable to that required here is contained in any prior filing with the Commission, such description may be incorporated by reference to such other filing in answer to this item. If such description will be included in a form of prospectus or an offering circular subsequently filed by the registrant pursuant to Rule 424(b) under the Securities Act (§230.424(b) of this chapter) or Rule 253(g) of Regulation A (§ 230.253(g) of this chapter), this registration statement shall state that such prospectus or offer- ing circular shall be deemed to be incorporated by reference into the registration statement. If the securities are to be registered on a national securities exchange and the description has not previously been filed with such exchange, copies of the description shall be filed with copies of the application filed with the exchange.</w:t>
      </w:r>
    </w:p>
    <w:p>
      <w:pPr>
        <w:pStyle w:val="BodyText"/>
        <w:spacing w:before="8"/>
        <w:rPr>
          <w:sz w:val="25"/>
        </w:rPr>
      </w:pPr>
    </w:p>
    <w:p>
      <w:pPr>
        <w:pStyle w:val="Heading1"/>
        <w:spacing w:before="1"/>
        <w:ind w:left="120" w:right="0"/>
        <w:jc w:val="left"/>
      </w:pPr>
      <w:r>
        <w:rPr>
          <w:color w:val="231F20"/>
        </w:rPr>
        <w:t>Item 2. Exhibits.</w:t>
      </w:r>
    </w:p>
    <w:p>
      <w:pPr>
        <w:pStyle w:val="BodyText"/>
        <w:rPr>
          <w:b/>
          <w:sz w:val="26"/>
        </w:rPr>
      </w:pPr>
    </w:p>
    <w:p>
      <w:pPr>
        <w:pStyle w:val="BodyText"/>
        <w:spacing w:before="1"/>
        <w:ind w:left="120"/>
      </w:pPr>
      <w:r>
        <w:rPr>
          <w:color w:val="231F20"/>
        </w:rPr>
        <w:t>List below all exhibits filed as a part of the registration statement:</w:t>
      </w:r>
    </w:p>
    <w:p>
      <w:pPr>
        <w:pStyle w:val="BodyText"/>
        <w:rPr>
          <w:sz w:val="26"/>
        </w:rPr>
      </w:pPr>
    </w:p>
    <w:p>
      <w:pPr>
        <w:pStyle w:val="BodyText"/>
        <w:spacing w:before="1"/>
        <w:ind w:left="120"/>
      </w:pPr>
      <w:r>
        <w:rPr>
          <w:i/>
          <w:color w:val="231F20"/>
        </w:rPr>
        <w:t>Instruction. </w:t>
      </w:r>
      <w:r>
        <w:rPr>
          <w:color w:val="231F20"/>
        </w:rPr>
        <w:t>See the instructions as to exhibits, set forth below.</w:t>
      </w:r>
    </w:p>
    <w:p>
      <w:pPr>
        <w:pStyle w:val="BodyText"/>
        <w:spacing w:before="1"/>
        <w:rPr>
          <w:sz w:val="26"/>
        </w:rPr>
      </w:pPr>
    </w:p>
    <w:p>
      <w:pPr>
        <w:pStyle w:val="Heading1"/>
      </w:pPr>
      <w:r>
        <w:rPr>
          <w:color w:val="231F20"/>
        </w:rPr>
        <w:t>SIGNATURE</w:t>
      </w:r>
    </w:p>
    <w:p>
      <w:pPr>
        <w:pStyle w:val="BodyText"/>
        <w:spacing w:before="1"/>
        <w:rPr>
          <w:b/>
          <w:sz w:val="26"/>
        </w:rPr>
      </w:pPr>
    </w:p>
    <w:p>
      <w:pPr>
        <w:pStyle w:val="BodyText"/>
        <w:ind w:left="120"/>
      </w:pPr>
      <w:r>
        <w:rPr>
          <w:color w:val="231F20"/>
        </w:rPr>
        <w:t>Pursuant to the requirements of Section l2 of the Securities Exchange Act of 1934, the registrant has duly</w:t>
      </w:r>
    </w:p>
    <w:p>
      <w:pPr>
        <w:pStyle w:val="BodyText"/>
        <w:spacing w:before="12"/>
        <w:ind w:left="120"/>
      </w:pPr>
      <w:r>
        <w:rPr>
          <w:color w:val="231F20"/>
        </w:rPr>
        <w:t>caused this registration statement to be signed on its behalf by the undersigned, thereto duly authorized.</w:t>
      </w:r>
    </w:p>
    <w:p>
      <w:pPr>
        <w:pStyle w:val="BodyText"/>
        <w:spacing w:before="1"/>
        <w:rPr>
          <w:sz w:val="26"/>
        </w:rPr>
      </w:pPr>
    </w:p>
    <w:p>
      <w:pPr>
        <w:pStyle w:val="BodyText"/>
        <w:tabs>
          <w:tab w:pos="8406" w:val="left" w:leader="none"/>
        </w:tabs>
        <w:ind w:left="120"/>
      </w:pPr>
      <w:r>
        <w:rPr>
          <w:color w:val="231F20"/>
        </w:rPr>
        <w:t>(Registrant) </w:t>
      </w:r>
      <w:r>
        <w:rPr>
          <w:color w:val="231F20"/>
          <w:u w:val="single" w:color="221E1F"/>
        </w:rPr>
        <w:t> </w:t>
        <w:tab/>
      </w:r>
    </w:p>
    <w:p>
      <w:pPr>
        <w:pStyle w:val="BodyText"/>
        <w:spacing w:before="3"/>
        <w:rPr>
          <w:sz w:val="18"/>
        </w:rPr>
      </w:pPr>
    </w:p>
    <w:p>
      <w:pPr>
        <w:pStyle w:val="BodyText"/>
        <w:tabs>
          <w:tab w:pos="5192" w:val="left" w:leader="none"/>
        </w:tabs>
        <w:spacing w:before="90"/>
        <w:ind w:left="120"/>
      </w:pPr>
      <w:r>
        <w:rPr>
          <w:color w:val="231F20"/>
        </w:rPr>
        <w:t>Date</w:t>
      </w:r>
      <w:r>
        <w:rPr>
          <w:color w:val="231F20"/>
          <w:spacing w:val="-1"/>
        </w:rPr>
        <w:t> </w:t>
      </w:r>
      <w:r>
        <w:rPr>
          <w:color w:val="231F20"/>
          <w:u w:val="single" w:color="221E1F"/>
        </w:rPr>
        <w:t> </w:t>
        <w:tab/>
      </w:r>
    </w:p>
    <w:p>
      <w:pPr>
        <w:pStyle w:val="BodyText"/>
        <w:spacing w:before="3"/>
        <w:rPr>
          <w:sz w:val="18"/>
        </w:rPr>
      </w:pPr>
    </w:p>
    <w:p>
      <w:pPr>
        <w:pStyle w:val="BodyText"/>
        <w:tabs>
          <w:tab w:pos="8379" w:val="left" w:leader="none"/>
        </w:tabs>
        <w:spacing w:before="90"/>
        <w:ind w:left="120"/>
      </w:pPr>
      <w:r>
        <w:rPr>
          <w:color w:val="231F20"/>
        </w:rPr>
        <w:t>By </w:t>
      </w:r>
      <w:r>
        <w:rPr>
          <w:color w:val="231F20"/>
          <w:u w:val="single" w:color="221E1F"/>
        </w:rPr>
        <w:t> </w:t>
        <w:tab/>
      </w:r>
    </w:p>
    <w:p>
      <w:pPr>
        <w:pStyle w:val="BodyText"/>
        <w:spacing w:before="12"/>
        <w:ind w:left="120"/>
      </w:pPr>
      <w:r>
        <w:rPr>
          <w:color w:val="231F20"/>
        </w:rPr>
        <w:t>*Print the name and title of the signing officer under such officer’s signature.</w:t>
      </w:r>
    </w:p>
    <w:p>
      <w:pPr>
        <w:pStyle w:val="BodyText"/>
        <w:spacing w:before="1"/>
        <w:rPr>
          <w:sz w:val="26"/>
        </w:rPr>
      </w:pPr>
    </w:p>
    <w:p>
      <w:pPr>
        <w:pStyle w:val="Heading1"/>
      </w:pPr>
      <w:r>
        <w:rPr>
          <w:color w:val="231F20"/>
        </w:rPr>
        <w:t>INSTRUCTIONS AS TO EXHIBITS</w:t>
      </w:r>
    </w:p>
    <w:p>
      <w:pPr>
        <w:pStyle w:val="BodyText"/>
        <w:spacing w:before="1"/>
        <w:rPr>
          <w:b/>
          <w:sz w:val="26"/>
        </w:rPr>
      </w:pPr>
    </w:p>
    <w:p>
      <w:pPr>
        <w:pStyle w:val="BodyText"/>
        <w:spacing w:line="249" w:lineRule="auto"/>
        <w:ind w:left="120" w:right="240"/>
      </w:pPr>
      <w:r>
        <w:rPr>
          <w:color w:val="231F20"/>
        </w:rPr>
        <w:t>If the securities to be registered on this form are to be registered on an exchange on which other securities of the registrant are registered, or are to be registered pursuant to Section 12(g) of the Act, copies of all</w:t>
      </w:r>
      <w:r>
        <w:rPr>
          <w:color w:val="231F20"/>
          <w:spacing w:val="-26"/>
        </w:rPr>
        <w:t> </w:t>
      </w:r>
      <w:r>
        <w:rPr>
          <w:color w:val="231F20"/>
        </w:rPr>
        <w:t>constituent instruments defining the rights of the holders of each class of such securities, including any contracts or other documents which limit or qualify the rights of such holders, must be filed as exhibits with each copy of the</w:t>
      </w:r>
      <w:r>
        <w:rPr>
          <w:color w:val="231F20"/>
          <w:spacing w:val="-32"/>
        </w:rPr>
        <w:t> </w:t>
      </w:r>
      <w:r>
        <w:rPr>
          <w:color w:val="231F20"/>
        </w:rPr>
        <w:t>reg-</w:t>
      </w:r>
    </w:p>
    <w:p>
      <w:pPr>
        <w:pStyle w:val="BodyText"/>
        <w:spacing w:line="249" w:lineRule="auto" w:before="4"/>
        <w:ind w:left="120"/>
      </w:pPr>
      <w:r>
        <w:rPr>
          <w:color w:val="231F20"/>
        </w:rPr>
        <w:t>istration statement filed with the Commission or with an exchange, subject to Rule 12b-23(c) regarding incorpo- ration of exhibits by reference.</w:t>
      </w:r>
    </w:p>
    <w:sectPr>
      <w:pgSz w:w="12240" w:h="15840"/>
      <w:pgMar w:header="0" w:footer="556" w:top="1180" w:bottom="760" w:left="60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38.834106pt;margin-top:750.708801pt;width:345.55pt;height:21.85pt;mso-position-horizontal-relative:page;mso-position-vertical-relative:page;z-index:-251865088" type="#_x0000_t202" filled="false" stroked="false">
          <v:textbox inset="0,0,0,0">
            <w:txbxContent>
              <w:p>
                <w:pPr>
                  <w:spacing w:line="196" w:lineRule="auto" w:before="51"/>
                  <w:ind w:left="20" w:right="0" w:firstLine="0"/>
                  <w:jc w:val="left"/>
                  <w:rPr>
                    <w:rFonts w:ascii="Calibri"/>
                    <w:sz w:val="18"/>
                  </w:rPr>
                </w:pPr>
                <w:r>
                  <w:rPr>
                    <w:rFonts w:ascii="Calibri"/>
                    <w:color w:val="231F20"/>
                    <w:sz w:val="18"/>
                  </w:rPr>
                  <w:t>Persons who are to respond to the collection of information contained in this form are not required to respond unless the form displays a currently valid OMB control number.</w:t>
                </w:r>
              </w:p>
            </w:txbxContent>
          </v:textbox>
          <w10:wrap type="none"/>
        </v:shape>
      </w:pict>
    </w:r>
    <w:r>
      <w:rPr/>
      <w:pict>
        <v:shape style="position:absolute;margin-left:39.090pt;margin-top:761.839722pt;width:89.5pt;height:16.5pt;mso-position-horizontal-relative:page;mso-position-vertical-relative:page;z-index:-251864064" type="#_x0000_t202" filled="false" stroked="false">
          <v:textbox inset="0,0,0,0">
            <w:txbxContent>
              <w:p>
                <w:pPr>
                  <w:spacing w:before="20"/>
                  <w:ind w:left="20" w:right="0" w:firstLine="0"/>
                  <w:jc w:val="left"/>
                  <w:rPr>
                    <w:rFonts w:ascii="Calibri"/>
                    <w:sz w:val="20"/>
                  </w:rPr>
                </w:pPr>
                <w:r>
                  <w:rPr>
                    <w:rFonts w:ascii="Calibri"/>
                    <w:color w:val="231F20"/>
                    <w:sz w:val="20"/>
                  </w:rPr>
                  <w:t>SEC1922 (5-19) </w:t>
                </w:r>
                <w:r>
                  <w:rPr/>
                  <w:fldChar w:fldCharType="begin"/>
                </w:r>
                <w:r>
                  <w:rPr>
                    <w:rFonts w:ascii="Calibri"/>
                    <w:color w:val="231F20"/>
                    <w:sz w:val="20"/>
                  </w:rPr>
                  <w:instrText> PAGE </w:instrText>
                </w:r>
                <w:r>
                  <w:rPr/>
                  <w:fldChar w:fldCharType="separate"/>
                </w:r>
                <w:r>
                  <w:rPr/>
                  <w:t>3</w:t>
                </w:r>
                <w:r>
                  <w:rPr/>
                  <w:fldChar w:fldCharType="end"/>
                </w:r>
                <w:r>
                  <w:rPr>
                    <w:rFonts w:ascii="Calibri"/>
                    <w:color w:val="231F20"/>
                    <w:sz w:val="20"/>
                  </w:rPr>
                  <w:t> of 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5"/>
      </w:rPr>
    </w:pPr>
    <w:r>
      <w:rPr/>
      <w:pict>
        <v:shape style="position:absolute;margin-left:35pt;margin-top:752.97998pt;width:89.5pt;height:18.75pt;mso-position-horizontal-relative:page;mso-position-vertical-relative:page;z-index:-251863040" type="#_x0000_t202" filled="false" stroked="false">
          <v:textbox inset="0,0,0,0">
            <w:txbxContent>
              <w:p>
                <w:pPr>
                  <w:spacing w:before="20"/>
                  <w:ind w:left="20" w:right="0" w:firstLine="0"/>
                  <w:jc w:val="left"/>
                  <w:rPr>
                    <w:rFonts w:ascii="Calibri"/>
                    <w:sz w:val="20"/>
                  </w:rPr>
                </w:pPr>
                <w:r>
                  <w:rPr>
                    <w:rFonts w:ascii="Calibri"/>
                    <w:color w:val="231F20"/>
                    <w:sz w:val="20"/>
                  </w:rPr>
                  <w:t>SEC1922 (5-19) </w:t>
                </w:r>
                <w:r>
                  <w:rPr/>
                  <w:fldChar w:fldCharType="begin"/>
                </w:r>
                <w:r>
                  <w:rPr>
                    <w:rFonts w:ascii="Calibri"/>
                    <w:color w:val="231F20"/>
                    <w:sz w:val="20"/>
                  </w:rPr>
                  <w:instrText> PAGE </w:instrText>
                </w:r>
                <w:r>
                  <w:rPr/>
                  <w:fldChar w:fldCharType="separate"/>
                </w:r>
                <w:r>
                  <w:rPr/>
                  <w:t>4</w:t>
                </w:r>
                <w:r>
                  <w:rPr/>
                  <w:fldChar w:fldCharType="end"/>
                </w:r>
                <w:r>
                  <w:rPr>
                    <w:rFonts w:ascii="Calibri"/>
                    <w:color w:val="231F20"/>
                    <w:sz w:val="20"/>
                  </w:rPr>
                  <w:t> of 4</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120" w:hanging="322"/>
        <w:jc w:val="left"/>
      </w:pPr>
      <w:rPr>
        <w:rFonts w:hint="default" w:ascii="Times New Roman" w:hAnsi="Times New Roman" w:eastAsia="Times New Roman" w:cs="Times New Roman"/>
        <w:color w:val="231F20"/>
        <w:w w:val="100"/>
        <w:sz w:val="24"/>
        <w:szCs w:val="24"/>
      </w:rPr>
    </w:lvl>
    <w:lvl w:ilvl="1">
      <w:start w:val="0"/>
      <w:numFmt w:val="bullet"/>
      <w:lvlText w:val="•"/>
      <w:lvlJc w:val="left"/>
      <w:pPr>
        <w:ind w:left="1218" w:hanging="322"/>
      </w:pPr>
      <w:rPr>
        <w:rFonts w:hint="default"/>
      </w:rPr>
    </w:lvl>
    <w:lvl w:ilvl="2">
      <w:start w:val="0"/>
      <w:numFmt w:val="bullet"/>
      <w:lvlText w:val="•"/>
      <w:lvlJc w:val="left"/>
      <w:pPr>
        <w:ind w:left="2316" w:hanging="322"/>
      </w:pPr>
      <w:rPr>
        <w:rFonts w:hint="default"/>
      </w:rPr>
    </w:lvl>
    <w:lvl w:ilvl="3">
      <w:start w:val="0"/>
      <w:numFmt w:val="bullet"/>
      <w:lvlText w:val="•"/>
      <w:lvlJc w:val="left"/>
      <w:pPr>
        <w:ind w:left="3414" w:hanging="322"/>
      </w:pPr>
      <w:rPr>
        <w:rFonts w:hint="default"/>
      </w:rPr>
    </w:lvl>
    <w:lvl w:ilvl="4">
      <w:start w:val="0"/>
      <w:numFmt w:val="bullet"/>
      <w:lvlText w:val="•"/>
      <w:lvlJc w:val="left"/>
      <w:pPr>
        <w:ind w:left="4512" w:hanging="322"/>
      </w:pPr>
      <w:rPr>
        <w:rFonts w:hint="default"/>
      </w:rPr>
    </w:lvl>
    <w:lvl w:ilvl="5">
      <w:start w:val="0"/>
      <w:numFmt w:val="bullet"/>
      <w:lvlText w:val="•"/>
      <w:lvlJc w:val="left"/>
      <w:pPr>
        <w:ind w:left="5610" w:hanging="322"/>
      </w:pPr>
      <w:rPr>
        <w:rFonts w:hint="default"/>
      </w:rPr>
    </w:lvl>
    <w:lvl w:ilvl="6">
      <w:start w:val="0"/>
      <w:numFmt w:val="bullet"/>
      <w:lvlText w:val="•"/>
      <w:lvlJc w:val="left"/>
      <w:pPr>
        <w:ind w:left="6708" w:hanging="322"/>
      </w:pPr>
      <w:rPr>
        <w:rFonts w:hint="default"/>
      </w:rPr>
    </w:lvl>
    <w:lvl w:ilvl="7">
      <w:start w:val="0"/>
      <w:numFmt w:val="bullet"/>
      <w:lvlText w:val="•"/>
      <w:lvlJc w:val="left"/>
      <w:pPr>
        <w:ind w:left="7806" w:hanging="322"/>
      </w:pPr>
      <w:rPr>
        <w:rFonts w:hint="default"/>
      </w:rPr>
    </w:lvl>
    <w:lvl w:ilvl="8">
      <w:start w:val="0"/>
      <w:numFmt w:val="bullet"/>
      <w:lvlText w:val="•"/>
      <w:lvlJc w:val="left"/>
      <w:pPr>
        <w:ind w:left="8904" w:hanging="322"/>
      </w:pPr>
      <w:rPr>
        <w:rFonts w:hint="default"/>
      </w:rPr>
    </w:lvl>
  </w:abstractNum>
  <w:abstractNum w:abstractNumId="1">
    <w:multiLevelType w:val="hybridMultilevel"/>
    <w:lvl w:ilvl="0">
      <w:start w:val="1"/>
      <w:numFmt w:val="lowerLetter"/>
      <w:lvlText w:val="(%1)"/>
      <w:lvlJc w:val="left"/>
      <w:pPr>
        <w:ind w:left="150" w:hanging="327"/>
        <w:jc w:val="left"/>
      </w:pPr>
      <w:rPr>
        <w:rFonts w:hint="default" w:ascii="Times New Roman" w:hAnsi="Times New Roman" w:eastAsia="Times New Roman" w:cs="Times New Roman"/>
        <w:color w:val="231F20"/>
        <w:spacing w:val="-16"/>
        <w:w w:val="95"/>
        <w:sz w:val="24"/>
        <w:szCs w:val="24"/>
      </w:rPr>
    </w:lvl>
    <w:lvl w:ilvl="1">
      <w:start w:val="1"/>
      <w:numFmt w:val="decimal"/>
      <w:lvlText w:val="(%2)"/>
      <w:lvlJc w:val="left"/>
      <w:pPr>
        <w:ind w:left="1209" w:hanging="340"/>
        <w:jc w:val="left"/>
      </w:pPr>
      <w:rPr>
        <w:rFonts w:hint="default" w:ascii="Times New Roman" w:hAnsi="Times New Roman" w:eastAsia="Times New Roman" w:cs="Times New Roman"/>
        <w:color w:val="231F20"/>
        <w:spacing w:val="-15"/>
        <w:w w:val="100"/>
        <w:sz w:val="24"/>
        <w:szCs w:val="24"/>
      </w:rPr>
    </w:lvl>
    <w:lvl w:ilvl="2">
      <w:start w:val="0"/>
      <w:numFmt w:val="bullet"/>
      <w:lvlText w:val="•"/>
      <w:lvlJc w:val="left"/>
      <w:pPr>
        <w:ind w:left="1200" w:hanging="340"/>
      </w:pPr>
      <w:rPr>
        <w:rFonts w:hint="default"/>
      </w:rPr>
    </w:lvl>
    <w:lvl w:ilvl="3">
      <w:start w:val="0"/>
      <w:numFmt w:val="bullet"/>
      <w:lvlText w:val="•"/>
      <w:lvlJc w:val="left"/>
      <w:pPr>
        <w:ind w:left="2437" w:hanging="340"/>
      </w:pPr>
      <w:rPr>
        <w:rFonts w:hint="default"/>
      </w:rPr>
    </w:lvl>
    <w:lvl w:ilvl="4">
      <w:start w:val="0"/>
      <w:numFmt w:val="bullet"/>
      <w:lvlText w:val="•"/>
      <w:lvlJc w:val="left"/>
      <w:pPr>
        <w:ind w:left="3675" w:hanging="340"/>
      </w:pPr>
      <w:rPr>
        <w:rFonts w:hint="default"/>
      </w:rPr>
    </w:lvl>
    <w:lvl w:ilvl="5">
      <w:start w:val="0"/>
      <w:numFmt w:val="bullet"/>
      <w:lvlText w:val="•"/>
      <w:lvlJc w:val="left"/>
      <w:pPr>
        <w:ind w:left="4912" w:hanging="340"/>
      </w:pPr>
      <w:rPr>
        <w:rFonts w:hint="default"/>
      </w:rPr>
    </w:lvl>
    <w:lvl w:ilvl="6">
      <w:start w:val="0"/>
      <w:numFmt w:val="bullet"/>
      <w:lvlText w:val="•"/>
      <w:lvlJc w:val="left"/>
      <w:pPr>
        <w:ind w:left="6150" w:hanging="340"/>
      </w:pPr>
      <w:rPr>
        <w:rFonts w:hint="default"/>
      </w:rPr>
    </w:lvl>
    <w:lvl w:ilvl="7">
      <w:start w:val="0"/>
      <w:numFmt w:val="bullet"/>
      <w:lvlText w:val="•"/>
      <w:lvlJc w:val="left"/>
      <w:pPr>
        <w:ind w:left="7387" w:hanging="340"/>
      </w:pPr>
      <w:rPr>
        <w:rFonts w:hint="default"/>
      </w:rPr>
    </w:lvl>
    <w:lvl w:ilvl="8">
      <w:start w:val="0"/>
      <w:numFmt w:val="bullet"/>
      <w:lvlText w:val="•"/>
      <w:lvlJc w:val="left"/>
      <w:pPr>
        <w:ind w:left="8625" w:hanging="340"/>
      </w:pPr>
      <w:rPr>
        <w:rFonts w:hint="default"/>
      </w:rPr>
    </w:lvl>
  </w:abstractNum>
  <w:abstractNum w:abstractNumId="0">
    <w:multiLevelType w:val="hybridMultilevel"/>
    <w:lvl w:ilvl="0">
      <w:start w:val="1"/>
      <w:numFmt w:val="upperLetter"/>
      <w:lvlText w:val="%1."/>
      <w:lvlJc w:val="left"/>
      <w:pPr>
        <w:ind w:left="443" w:hanging="294"/>
        <w:jc w:val="left"/>
      </w:pPr>
      <w:rPr>
        <w:rFonts w:hint="default" w:ascii="Times New Roman" w:hAnsi="Times New Roman" w:eastAsia="Times New Roman" w:cs="Times New Roman"/>
        <w:b/>
        <w:bCs/>
        <w:color w:val="231F20"/>
        <w:spacing w:val="-1"/>
        <w:w w:val="100"/>
        <w:sz w:val="24"/>
        <w:szCs w:val="24"/>
      </w:rPr>
    </w:lvl>
    <w:lvl w:ilvl="1">
      <w:start w:val="0"/>
      <w:numFmt w:val="bullet"/>
      <w:lvlText w:val="•"/>
      <w:lvlJc w:val="left"/>
      <w:pPr>
        <w:ind w:left="1506" w:hanging="294"/>
      </w:pPr>
      <w:rPr>
        <w:rFonts w:hint="default"/>
      </w:rPr>
    </w:lvl>
    <w:lvl w:ilvl="2">
      <w:start w:val="0"/>
      <w:numFmt w:val="bullet"/>
      <w:lvlText w:val="•"/>
      <w:lvlJc w:val="left"/>
      <w:pPr>
        <w:ind w:left="2572" w:hanging="294"/>
      </w:pPr>
      <w:rPr>
        <w:rFonts w:hint="default"/>
      </w:rPr>
    </w:lvl>
    <w:lvl w:ilvl="3">
      <w:start w:val="0"/>
      <w:numFmt w:val="bullet"/>
      <w:lvlText w:val="•"/>
      <w:lvlJc w:val="left"/>
      <w:pPr>
        <w:ind w:left="3638" w:hanging="294"/>
      </w:pPr>
      <w:rPr>
        <w:rFonts w:hint="default"/>
      </w:rPr>
    </w:lvl>
    <w:lvl w:ilvl="4">
      <w:start w:val="0"/>
      <w:numFmt w:val="bullet"/>
      <w:lvlText w:val="•"/>
      <w:lvlJc w:val="left"/>
      <w:pPr>
        <w:ind w:left="4704" w:hanging="294"/>
      </w:pPr>
      <w:rPr>
        <w:rFonts w:hint="default"/>
      </w:rPr>
    </w:lvl>
    <w:lvl w:ilvl="5">
      <w:start w:val="0"/>
      <w:numFmt w:val="bullet"/>
      <w:lvlText w:val="•"/>
      <w:lvlJc w:val="left"/>
      <w:pPr>
        <w:ind w:left="5770" w:hanging="294"/>
      </w:pPr>
      <w:rPr>
        <w:rFonts w:hint="default"/>
      </w:rPr>
    </w:lvl>
    <w:lvl w:ilvl="6">
      <w:start w:val="0"/>
      <w:numFmt w:val="bullet"/>
      <w:lvlText w:val="•"/>
      <w:lvlJc w:val="left"/>
      <w:pPr>
        <w:ind w:left="6836" w:hanging="294"/>
      </w:pPr>
      <w:rPr>
        <w:rFonts w:hint="default"/>
      </w:rPr>
    </w:lvl>
    <w:lvl w:ilvl="7">
      <w:start w:val="0"/>
      <w:numFmt w:val="bullet"/>
      <w:lvlText w:val="•"/>
      <w:lvlJc w:val="left"/>
      <w:pPr>
        <w:ind w:left="7902" w:hanging="294"/>
      </w:pPr>
      <w:rPr>
        <w:rFonts w:hint="default"/>
      </w:rPr>
    </w:lvl>
    <w:lvl w:ilvl="8">
      <w:start w:val="0"/>
      <w:numFmt w:val="bullet"/>
      <w:lvlText w:val="•"/>
      <w:lvlJc w:val="left"/>
      <w:pPr>
        <w:ind w:left="8968" w:hanging="294"/>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987" w:right="2045"/>
      <w:jc w:val="center"/>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before="1"/>
      <w:ind w:left="150" w:firstLine="72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Securities and Exchange Commission</dc:creator>
  <cp:keywords>SEC1922; Date.modified: 2019-06-20</cp:keywords>
  <dc:subject>Registration of certain classes of securities pursuant to Section 12(b) or (g)</dc:subject>
  <dc:title>Form 8-A</dc:title>
  <dcterms:created xsi:type="dcterms:W3CDTF">2023-09-08T18:28:12Z</dcterms:created>
  <dcterms:modified xsi:type="dcterms:W3CDTF">2023-09-08T18:28:12Z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2012-07-02T00:00:00Z</vt:filetime>
  </property>
  <property fmtid="{D5CDD505-2E9C-101B-9397-08002B2CF9AE}" pid="3" name="Creator">
    <vt:lpwstr>Adobe InDesign CS6 (Windows)</vt:lpwstr>
  </property>
  <property fmtid="{D5CDD505-2E9C-101B-9397-08002B2CF9AE}" pid="4" name="LastSaved">
    <vt:filetime>2023-09-08T00:00:00Z</vt:filetime>
  </property>
</Properties>
</file>